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41" w:rsidRPr="00E7102F" w:rsidRDefault="00684E09" w:rsidP="00141292">
      <w:pPr>
        <w:jc w:val="center"/>
        <w:rPr>
          <w:rFonts w:cs="Arial"/>
          <w:lang w:val="en-GB"/>
        </w:rPr>
      </w:pPr>
      <w:r>
        <w:rPr>
          <w:rFonts w:ascii="SassoonCRInfant" w:hAnsi="SassoonCRInfant" w:cs="Arial"/>
          <w:noProof/>
          <w:lang w:val="en-GB" w:eastAsia="en-GB"/>
        </w:rPr>
        <w:pict>
          <v:shape id="Picture 2" o:spid="_x0000_i1025" type="#_x0000_t75" alt="STM Primary Logo3" style="width:214.35pt;height:141.5pt;visibility:visible">
            <v:imagedata r:id="rId9" o:title="STM Primary Logo3"/>
          </v:shape>
        </w:pict>
      </w:r>
    </w:p>
    <w:p w:rsidR="001C1141" w:rsidRPr="00E7102F" w:rsidRDefault="001C1141" w:rsidP="001C1141">
      <w:pPr>
        <w:rPr>
          <w:rFonts w:cs="Arial"/>
          <w:lang w:val="en-GB"/>
        </w:rPr>
      </w:pPr>
    </w:p>
    <w:p w:rsidR="00141292" w:rsidRPr="00E7102F" w:rsidRDefault="00684E09" w:rsidP="00BF348C">
      <w:pPr>
        <w:jc w:val="center"/>
        <w:rPr>
          <w:rFonts w:cs="Arial"/>
          <w:b/>
          <w:bCs/>
          <w:sz w:val="72"/>
          <w:szCs w:val="120"/>
          <w:lang w:val="en-GB"/>
        </w:rPr>
      </w:pPr>
      <w:r>
        <w:rPr>
          <w:noProof/>
        </w:rPr>
        <w:pict>
          <v:shape id="_x0000_s1028" type="#_x0000_t75" alt="Diversity and Inclusion Icon" style="position:absolute;left:0;text-align:left;margin-left:108pt;margin-top:43.6pt;width:239.25pt;height:211.05pt;z-index:2;mso-position-horizontal-relative:text;mso-position-vertical-relative:text;mso-width-relative:page;mso-height-relative:page" wrapcoords="-50 0 -50 21543 21600 21543 21600 0 -50 0">
            <v:imagedata r:id="rId10" o:title="fjjoibjjhhz" chromakey="white"/>
            <w10:wrap type="tight"/>
          </v:shape>
        </w:pict>
      </w:r>
      <w:r>
        <w:rPr>
          <w:rFonts w:cs="Arial"/>
          <w:b/>
          <w:bCs/>
          <w:noProof/>
          <w:sz w:val="72"/>
          <w:szCs w:val="120"/>
          <w:lang w:val="en-GB" w:eastAsia="en-GB"/>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79.5pt;margin-top:20.9pt;width:291pt;height:257.25pt;z-index:1" strokeweight="2.5pt">
            <v:shadow color="#868686"/>
          </v:shape>
        </w:pict>
      </w:r>
    </w:p>
    <w:p w:rsidR="00291D60" w:rsidRDefault="00291D60" w:rsidP="00141292">
      <w:pPr>
        <w:jc w:val="center"/>
        <w:rPr>
          <w:rFonts w:cs="Arial"/>
          <w:b/>
          <w:bCs/>
          <w:sz w:val="72"/>
          <w:szCs w:val="120"/>
          <w:lang w:val="en-GB"/>
        </w:rPr>
      </w:pPr>
    </w:p>
    <w:p w:rsidR="00291D60" w:rsidRDefault="00291D60" w:rsidP="00141292">
      <w:pPr>
        <w:jc w:val="center"/>
        <w:rPr>
          <w:rFonts w:cs="Arial"/>
          <w:b/>
          <w:bCs/>
          <w:sz w:val="72"/>
          <w:szCs w:val="120"/>
          <w:lang w:val="en-GB"/>
        </w:rPr>
      </w:pPr>
    </w:p>
    <w:p w:rsidR="00291D60" w:rsidRDefault="00291D60" w:rsidP="00141292">
      <w:pPr>
        <w:jc w:val="center"/>
        <w:rPr>
          <w:rFonts w:cs="Arial"/>
          <w:b/>
          <w:bCs/>
          <w:sz w:val="72"/>
          <w:szCs w:val="120"/>
          <w:lang w:val="en-GB"/>
        </w:rPr>
      </w:pPr>
    </w:p>
    <w:p w:rsidR="00291D60" w:rsidRDefault="00291D60" w:rsidP="00141292">
      <w:pPr>
        <w:jc w:val="center"/>
        <w:rPr>
          <w:rFonts w:cs="Arial"/>
          <w:b/>
          <w:bCs/>
          <w:sz w:val="72"/>
          <w:szCs w:val="120"/>
          <w:lang w:val="en-GB"/>
        </w:rPr>
      </w:pPr>
    </w:p>
    <w:p w:rsidR="00291D60" w:rsidRDefault="00291D60" w:rsidP="00141292">
      <w:pPr>
        <w:jc w:val="center"/>
        <w:rPr>
          <w:rFonts w:cs="Arial"/>
          <w:b/>
          <w:bCs/>
          <w:sz w:val="72"/>
          <w:szCs w:val="120"/>
          <w:lang w:val="en-GB"/>
        </w:rPr>
      </w:pPr>
    </w:p>
    <w:p w:rsidR="006A5B0F" w:rsidRDefault="00291D60" w:rsidP="00141292">
      <w:pPr>
        <w:jc w:val="center"/>
        <w:rPr>
          <w:rFonts w:cs="Arial"/>
          <w:b/>
          <w:bCs/>
          <w:sz w:val="72"/>
          <w:szCs w:val="120"/>
          <w:lang w:val="en-GB"/>
        </w:rPr>
      </w:pPr>
      <w:r>
        <w:rPr>
          <w:rFonts w:cs="Arial"/>
          <w:b/>
          <w:bCs/>
          <w:sz w:val="72"/>
          <w:szCs w:val="120"/>
          <w:lang w:val="en-GB"/>
        </w:rPr>
        <w:t>E</w:t>
      </w:r>
      <w:r w:rsidR="006A5B0F">
        <w:rPr>
          <w:rFonts w:cs="Arial"/>
          <w:b/>
          <w:bCs/>
          <w:sz w:val="72"/>
          <w:szCs w:val="120"/>
          <w:lang w:val="en-GB"/>
        </w:rPr>
        <w:t xml:space="preserve">nglish as an </w:t>
      </w:r>
      <w:r>
        <w:rPr>
          <w:rFonts w:cs="Arial"/>
          <w:b/>
          <w:bCs/>
          <w:sz w:val="72"/>
          <w:szCs w:val="120"/>
          <w:lang w:val="en-GB"/>
        </w:rPr>
        <w:t>A</w:t>
      </w:r>
      <w:r w:rsidR="006A5B0F">
        <w:rPr>
          <w:rFonts w:cs="Arial"/>
          <w:b/>
          <w:bCs/>
          <w:sz w:val="72"/>
          <w:szCs w:val="120"/>
          <w:lang w:val="en-GB"/>
        </w:rPr>
        <w:t xml:space="preserve">dditional </w:t>
      </w:r>
      <w:r>
        <w:rPr>
          <w:rFonts w:cs="Arial"/>
          <w:b/>
          <w:bCs/>
          <w:sz w:val="72"/>
          <w:szCs w:val="120"/>
          <w:lang w:val="en-GB"/>
        </w:rPr>
        <w:t>L</w:t>
      </w:r>
      <w:r w:rsidR="006A5B0F">
        <w:rPr>
          <w:rFonts w:cs="Arial"/>
          <w:b/>
          <w:bCs/>
          <w:sz w:val="72"/>
          <w:szCs w:val="120"/>
          <w:lang w:val="en-GB"/>
        </w:rPr>
        <w:t xml:space="preserve">anguage </w:t>
      </w:r>
    </w:p>
    <w:p w:rsidR="006A5B0F" w:rsidRDefault="006A5B0F" w:rsidP="00141292">
      <w:pPr>
        <w:jc w:val="center"/>
        <w:rPr>
          <w:rFonts w:cs="Arial"/>
          <w:b/>
          <w:bCs/>
          <w:sz w:val="72"/>
          <w:szCs w:val="120"/>
          <w:lang w:val="en-GB"/>
        </w:rPr>
      </w:pPr>
    </w:p>
    <w:p w:rsidR="001C1141" w:rsidRPr="00E7102F" w:rsidRDefault="006A5B0F" w:rsidP="00141292">
      <w:pPr>
        <w:jc w:val="center"/>
        <w:rPr>
          <w:rFonts w:cs="Arial"/>
          <w:b/>
          <w:bCs/>
          <w:sz w:val="72"/>
          <w:szCs w:val="120"/>
          <w:lang w:val="en-GB"/>
        </w:rPr>
      </w:pPr>
      <w:r>
        <w:rPr>
          <w:rFonts w:cs="Arial"/>
          <w:b/>
          <w:bCs/>
          <w:sz w:val="72"/>
          <w:szCs w:val="120"/>
          <w:lang w:val="en-GB"/>
        </w:rPr>
        <w:t>EAL</w:t>
      </w:r>
      <w:r w:rsidR="00291D60">
        <w:rPr>
          <w:rFonts w:cs="Arial"/>
          <w:b/>
          <w:bCs/>
          <w:sz w:val="72"/>
          <w:szCs w:val="120"/>
          <w:lang w:val="en-GB"/>
        </w:rPr>
        <w:t xml:space="preserve"> </w:t>
      </w:r>
      <w:r w:rsidR="001C1141" w:rsidRPr="00E7102F">
        <w:rPr>
          <w:rFonts w:cs="Arial"/>
          <w:b/>
          <w:bCs/>
          <w:sz w:val="72"/>
          <w:szCs w:val="120"/>
          <w:lang w:val="en-GB"/>
        </w:rPr>
        <w:t>P</w:t>
      </w:r>
      <w:r w:rsidR="00291D60">
        <w:rPr>
          <w:rFonts w:cs="Arial"/>
          <w:b/>
          <w:bCs/>
          <w:sz w:val="72"/>
          <w:szCs w:val="120"/>
          <w:lang w:val="en-GB"/>
        </w:rPr>
        <w:t>olicy</w:t>
      </w:r>
    </w:p>
    <w:p w:rsidR="00291D60" w:rsidRPr="00E7102F" w:rsidRDefault="00291D60" w:rsidP="001C1141">
      <w:pPr>
        <w:rPr>
          <w:rFonts w:cs="Arial"/>
          <w:lang w:val="en-GB"/>
        </w:rPr>
      </w:pPr>
    </w:p>
    <w:p w:rsidR="001C1141" w:rsidRPr="00E7102F" w:rsidRDefault="001C1141" w:rsidP="001C1141">
      <w:pPr>
        <w:rPr>
          <w:rFonts w:cs="Arial"/>
          <w:b/>
          <w:lang w:val="en-GB"/>
        </w:rPr>
      </w:pPr>
      <w:r w:rsidRPr="00E7102F">
        <w:rPr>
          <w:rFonts w:cs="Arial"/>
          <w:b/>
          <w:lang w:val="en-GB"/>
        </w:rPr>
        <w:t xml:space="preserve">     </w:t>
      </w:r>
    </w:p>
    <w:tbl>
      <w:tblPr>
        <w:tblW w:w="10598" w:type="dxa"/>
        <w:tblInd w:w="-5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3"/>
        <w:gridCol w:w="1843"/>
        <w:gridCol w:w="283"/>
        <w:gridCol w:w="3260"/>
        <w:gridCol w:w="151"/>
        <w:gridCol w:w="1550"/>
        <w:gridCol w:w="1418"/>
      </w:tblGrid>
      <w:tr w:rsidR="001C1141" w:rsidRPr="00E7102F" w:rsidTr="00291D60">
        <w:tc>
          <w:tcPr>
            <w:tcW w:w="2093" w:type="dxa"/>
            <w:shd w:val="clear" w:color="auto" w:fill="auto"/>
            <w:vAlign w:val="bottom"/>
          </w:tcPr>
          <w:p w:rsidR="001C1141" w:rsidRPr="00E7102F" w:rsidRDefault="001C1141" w:rsidP="00291D60">
            <w:pPr>
              <w:ind w:right="-613"/>
              <w:rPr>
                <w:b/>
                <w:lang w:val="en-GB"/>
              </w:rPr>
            </w:pPr>
            <w:r w:rsidRPr="00E7102F">
              <w:rPr>
                <w:b/>
                <w:lang w:val="en-GB"/>
              </w:rPr>
              <w:t>Policy Date:</w:t>
            </w:r>
          </w:p>
        </w:tc>
        <w:tc>
          <w:tcPr>
            <w:tcW w:w="1843" w:type="dxa"/>
            <w:shd w:val="clear" w:color="auto" w:fill="auto"/>
            <w:vAlign w:val="bottom"/>
          </w:tcPr>
          <w:p w:rsidR="001C1141" w:rsidRPr="00E7102F" w:rsidRDefault="001C1141" w:rsidP="00291D60">
            <w:pPr>
              <w:ind w:right="-108"/>
              <w:rPr>
                <w:lang w:val="en-GB"/>
              </w:rPr>
            </w:pPr>
            <w:r w:rsidRPr="00E7102F">
              <w:rPr>
                <w:lang w:val="en-GB"/>
              </w:rPr>
              <w:t xml:space="preserve">March 2021 </w:t>
            </w:r>
          </w:p>
        </w:tc>
        <w:tc>
          <w:tcPr>
            <w:tcW w:w="283" w:type="dxa"/>
            <w:vMerge w:val="restart"/>
            <w:shd w:val="clear" w:color="auto" w:fill="auto"/>
            <w:vAlign w:val="bottom"/>
          </w:tcPr>
          <w:p w:rsidR="001C1141" w:rsidRPr="00E7102F" w:rsidRDefault="001C1141" w:rsidP="00291D60">
            <w:pPr>
              <w:ind w:right="-613"/>
              <w:rPr>
                <w:lang w:val="en-GB"/>
              </w:rPr>
            </w:pPr>
          </w:p>
        </w:tc>
        <w:tc>
          <w:tcPr>
            <w:tcW w:w="6379" w:type="dxa"/>
            <w:gridSpan w:val="4"/>
            <w:shd w:val="clear" w:color="auto" w:fill="auto"/>
            <w:vAlign w:val="bottom"/>
          </w:tcPr>
          <w:p w:rsidR="001C1141" w:rsidRPr="00291D60" w:rsidRDefault="001C1141" w:rsidP="00291D60">
            <w:pPr>
              <w:ind w:right="-613"/>
              <w:rPr>
                <w:lang w:val="en-GB"/>
              </w:rPr>
            </w:pPr>
            <w:r w:rsidRPr="00E7102F">
              <w:rPr>
                <w:b/>
                <w:lang w:val="en-GB"/>
              </w:rPr>
              <w:t>Version:</w:t>
            </w:r>
            <w:r w:rsidRPr="00E7102F">
              <w:rPr>
                <w:lang w:val="en-GB"/>
              </w:rPr>
              <w:t xml:space="preserve">  </w:t>
            </w:r>
            <w:r w:rsidR="00141292" w:rsidRPr="00E7102F">
              <w:rPr>
                <w:lang w:val="en-GB"/>
              </w:rPr>
              <w:t>S</w:t>
            </w:r>
            <w:r w:rsidR="00291D60">
              <w:rPr>
                <w:lang w:val="en-GB"/>
              </w:rPr>
              <w:t xml:space="preserve">ummer Term 2021  </w:t>
            </w:r>
            <w:r w:rsidR="00291D60">
              <w:rPr>
                <w:b/>
                <w:lang w:val="en-GB"/>
              </w:rPr>
              <w:t xml:space="preserve">Subject lead: </w:t>
            </w:r>
            <w:r w:rsidR="00291D60">
              <w:rPr>
                <w:lang w:val="en-GB"/>
              </w:rPr>
              <w:t>Olivia Heath</w:t>
            </w:r>
          </w:p>
        </w:tc>
      </w:tr>
      <w:tr w:rsidR="001C1141" w:rsidRPr="00E7102F" w:rsidTr="00291D60">
        <w:tc>
          <w:tcPr>
            <w:tcW w:w="2093" w:type="dxa"/>
            <w:shd w:val="clear" w:color="auto" w:fill="auto"/>
            <w:vAlign w:val="bottom"/>
          </w:tcPr>
          <w:p w:rsidR="001C1141" w:rsidRPr="00E7102F" w:rsidRDefault="001C1141" w:rsidP="00291D60">
            <w:pPr>
              <w:ind w:right="-613"/>
              <w:rPr>
                <w:b/>
                <w:lang w:val="en-GB"/>
              </w:rPr>
            </w:pPr>
            <w:r w:rsidRPr="00E7102F">
              <w:rPr>
                <w:b/>
                <w:lang w:val="en-GB"/>
              </w:rPr>
              <w:t>Policy Review Date:</w:t>
            </w:r>
          </w:p>
        </w:tc>
        <w:tc>
          <w:tcPr>
            <w:tcW w:w="1843" w:type="dxa"/>
            <w:shd w:val="clear" w:color="auto" w:fill="auto"/>
            <w:vAlign w:val="bottom"/>
          </w:tcPr>
          <w:p w:rsidR="001C1141" w:rsidRPr="00E7102F" w:rsidRDefault="001C1141" w:rsidP="00291D60">
            <w:pPr>
              <w:ind w:right="-108"/>
              <w:rPr>
                <w:lang w:val="en-GB"/>
              </w:rPr>
            </w:pPr>
            <w:r w:rsidRPr="00E7102F">
              <w:rPr>
                <w:lang w:val="en-GB"/>
              </w:rPr>
              <w:t>March 2023</w:t>
            </w:r>
          </w:p>
        </w:tc>
        <w:tc>
          <w:tcPr>
            <w:tcW w:w="283" w:type="dxa"/>
            <w:vMerge/>
            <w:shd w:val="clear" w:color="auto" w:fill="auto"/>
            <w:vAlign w:val="bottom"/>
          </w:tcPr>
          <w:p w:rsidR="001C1141" w:rsidRPr="00E7102F" w:rsidRDefault="001C1141" w:rsidP="00291D60">
            <w:pPr>
              <w:ind w:right="-613"/>
              <w:rPr>
                <w:lang w:val="en-GB"/>
              </w:rPr>
            </w:pPr>
          </w:p>
        </w:tc>
        <w:tc>
          <w:tcPr>
            <w:tcW w:w="3260" w:type="dxa"/>
            <w:shd w:val="clear" w:color="auto" w:fill="auto"/>
            <w:vAlign w:val="bottom"/>
          </w:tcPr>
          <w:p w:rsidR="001C1141" w:rsidRPr="00E7102F" w:rsidRDefault="001C1141" w:rsidP="00291D60">
            <w:pPr>
              <w:ind w:right="-108"/>
              <w:rPr>
                <w:lang w:val="en-GB"/>
              </w:rPr>
            </w:pPr>
            <w:r w:rsidRPr="00E7102F">
              <w:rPr>
                <w:lang w:val="en-GB"/>
              </w:rPr>
              <w:t>Mrs R Dulieu (</w:t>
            </w:r>
            <w:r w:rsidR="00CA6FF8" w:rsidRPr="00E7102F">
              <w:rPr>
                <w:lang w:val="en-GB"/>
              </w:rPr>
              <w:t>Head teacher</w:t>
            </w:r>
            <w:r w:rsidRPr="00E7102F">
              <w:rPr>
                <w:lang w:val="en-GB"/>
              </w:rPr>
              <w:t>)</w:t>
            </w:r>
          </w:p>
        </w:tc>
        <w:tc>
          <w:tcPr>
            <w:tcW w:w="1701" w:type="dxa"/>
            <w:gridSpan w:val="2"/>
            <w:shd w:val="clear" w:color="auto" w:fill="auto"/>
            <w:vAlign w:val="bottom"/>
          </w:tcPr>
          <w:p w:rsidR="001C1141" w:rsidRPr="00E7102F" w:rsidRDefault="001C1141" w:rsidP="00291D60">
            <w:pPr>
              <w:ind w:right="-108"/>
              <w:rPr>
                <w:lang w:val="en-GB"/>
              </w:rPr>
            </w:pPr>
            <w:r w:rsidRPr="00E7102F">
              <w:rPr>
                <w:lang w:val="en-GB"/>
              </w:rPr>
              <w:t>Signature</w:t>
            </w:r>
          </w:p>
        </w:tc>
        <w:tc>
          <w:tcPr>
            <w:tcW w:w="1418" w:type="dxa"/>
            <w:shd w:val="clear" w:color="auto" w:fill="auto"/>
            <w:vAlign w:val="bottom"/>
          </w:tcPr>
          <w:p w:rsidR="001C1141" w:rsidRPr="00E7102F" w:rsidRDefault="001C1141" w:rsidP="00291D60">
            <w:pPr>
              <w:ind w:right="-108"/>
              <w:rPr>
                <w:lang w:val="en-GB"/>
              </w:rPr>
            </w:pPr>
            <w:r w:rsidRPr="00E7102F">
              <w:rPr>
                <w:lang w:val="en-GB"/>
              </w:rPr>
              <w:t xml:space="preserve">Date </w:t>
            </w:r>
          </w:p>
        </w:tc>
      </w:tr>
      <w:tr w:rsidR="001C1141" w:rsidRPr="00E7102F" w:rsidTr="00291D60">
        <w:tc>
          <w:tcPr>
            <w:tcW w:w="10598" w:type="dxa"/>
            <w:gridSpan w:val="7"/>
            <w:shd w:val="clear" w:color="auto" w:fill="auto"/>
            <w:vAlign w:val="bottom"/>
          </w:tcPr>
          <w:p w:rsidR="001C1141" w:rsidRPr="00E7102F" w:rsidRDefault="001C1141" w:rsidP="00291D60">
            <w:pPr>
              <w:ind w:right="176"/>
              <w:rPr>
                <w:lang w:val="en-GB"/>
              </w:rPr>
            </w:pPr>
            <w:r w:rsidRPr="00E7102F">
              <w:rPr>
                <w:b/>
                <w:lang w:val="en-GB"/>
              </w:rPr>
              <w:t>Ratified by Governing Body:</w:t>
            </w:r>
          </w:p>
        </w:tc>
      </w:tr>
      <w:tr w:rsidR="001C1141" w:rsidRPr="00E7102F" w:rsidTr="00291D60">
        <w:tc>
          <w:tcPr>
            <w:tcW w:w="4219" w:type="dxa"/>
            <w:gridSpan w:val="3"/>
            <w:shd w:val="clear" w:color="auto" w:fill="auto"/>
            <w:vAlign w:val="bottom"/>
          </w:tcPr>
          <w:p w:rsidR="001C1141" w:rsidRPr="00E7102F" w:rsidRDefault="001C1141" w:rsidP="00291D60">
            <w:pPr>
              <w:ind w:right="-108"/>
              <w:rPr>
                <w:lang w:val="en-GB"/>
              </w:rPr>
            </w:pPr>
            <w:r w:rsidRPr="00E7102F">
              <w:rPr>
                <w:lang w:val="en-GB"/>
              </w:rPr>
              <w:t>Name: Raj Gill-Harrison</w:t>
            </w:r>
          </w:p>
        </w:tc>
        <w:tc>
          <w:tcPr>
            <w:tcW w:w="3411" w:type="dxa"/>
            <w:gridSpan w:val="2"/>
            <w:shd w:val="clear" w:color="auto" w:fill="auto"/>
            <w:vAlign w:val="bottom"/>
          </w:tcPr>
          <w:p w:rsidR="001C1141" w:rsidRPr="00E7102F" w:rsidRDefault="001C1141" w:rsidP="00291D60">
            <w:pPr>
              <w:ind w:right="-99"/>
              <w:rPr>
                <w:lang w:val="en-GB"/>
              </w:rPr>
            </w:pPr>
            <w:r w:rsidRPr="00E7102F">
              <w:rPr>
                <w:lang w:val="en-GB"/>
              </w:rPr>
              <w:t xml:space="preserve">Signature </w:t>
            </w:r>
          </w:p>
        </w:tc>
        <w:tc>
          <w:tcPr>
            <w:tcW w:w="2968" w:type="dxa"/>
            <w:gridSpan w:val="2"/>
            <w:shd w:val="clear" w:color="auto" w:fill="auto"/>
            <w:vAlign w:val="bottom"/>
          </w:tcPr>
          <w:p w:rsidR="001C1141" w:rsidRPr="00E7102F" w:rsidRDefault="001C1141" w:rsidP="00291D60">
            <w:pPr>
              <w:ind w:right="-108"/>
              <w:rPr>
                <w:lang w:val="en-GB"/>
              </w:rPr>
            </w:pPr>
            <w:r w:rsidRPr="00E7102F">
              <w:rPr>
                <w:lang w:val="en-GB"/>
              </w:rPr>
              <w:t>Date</w:t>
            </w:r>
          </w:p>
        </w:tc>
      </w:tr>
    </w:tbl>
    <w:p w:rsidR="001C1141" w:rsidRPr="00E7102F" w:rsidRDefault="001C1141" w:rsidP="001C1141">
      <w:pPr>
        <w:rPr>
          <w:rFonts w:cs="Arial"/>
          <w:b/>
          <w:lang w:val="en-GB"/>
        </w:rPr>
        <w:sectPr w:rsidR="001C1141" w:rsidRPr="00E7102F" w:rsidSect="005B361D">
          <w:footerReference w:type="default" r:id="rId11"/>
          <w:pgSz w:w="11906" w:h="16838"/>
          <w:pgMar w:top="568" w:right="1440" w:bottom="993" w:left="1440" w:header="708" w:footer="708" w:gutter="0"/>
          <w:pgNumType w:start="0"/>
          <w:cols w:space="708"/>
          <w:titlePg/>
          <w:docGrid w:linePitch="360"/>
        </w:sectPr>
      </w:pPr>
    </w:p>
    <w:p w:rsidR="005356B6" w:rsidRDefault="00740AC8" w:rsidP="00975FF5">
      <w:pPr>
        <w:pStyle w:val="Heading1"/>
        <w:spacing w:after="0"/>
        <w:rPr>
          <w:color w:val="00B050"/>
          <w:sz w:val="24"/>
          <w:szCs w:val="24"/>
        </w:rPr>
      </w:pPr>
      <w:bookmarkStart w:id="0" w:name="_Toc59006314"/>
      <w:r w:rsidRPr="005356B6">
        <w:rPr>
          <w:color w:val="00B050"/>
          <w:sz w:val="24"/>
          <w:szCs w:val="24"/>
        </w:rPr>
        <w:lastRenderedPageBreak/>
        <w:t>1.</w:t>
      </w:r>
      <w:bookmarkEnd w:id="0"/>
      <w:r w:rsidR="005356B6">
        <w:rPr>
          <w:color w:val="00B050"/>
          <w:sz w:val="24"/>
          <w:szCs w:val="24"/>
        </w:rPr>
        <w:t xml:space="preserve"> Definitions</w:t>
      </w:r>
    </w:p>
    <w:p w:rsidR="005356B6" w:rsidRDefault="005356B6" w:rsidP="00975FF5">
      <w:pPr>
        <w:pStyle w:val="Heading1"/>
        <w:spacing w:after="0"/>
        <w:rPr>
          <w:color w:val="00B050"/>
          <w:sz w:val="24"/>
          <w:szCs w:val="24"/>
        </w:rPr>
      </w:pPr>
    </w:p>
    <w:p w:rsidR="003C263A" w:rsidRPr="003C263A" w:rsidRDefault="003C263A" w:rsidP="003C263A">
      <w:pPr>
        <w:shd w:val="clear" w:color="auto" w:fill="FFFFFF"/>
        <w:spacing w:after="150" w:line="330" w:lineRule="atLeast"/>
        <w:rPr>
          <w:rFonts w:eastAsia="Times New Roman" w:cs="Arial"/>
          <w:color w:val="000000"/>
          <w:sz w:val="24"/>
          <w:lang w:val="en-GB" w:eastAsia="en-GB"/>
        </w:rPr>
      </w:pPr>
      <w:r w:rsidRPr="003C263A">
        <w:rPr>
          <w:rFonts w:eastAsia="Times New Roman" w:cs="Arial"/>
          <w:color w:val="000000"/>
          <w:sz w:val="24"/>
          <w:lang w:val="en-GB" w:eastAsia="en-GB"/>
        </w:rPr>
        <w:t>A learner of English as an additional language (EAL) is a pupil whose first language is other than English.</w:t>
      </w:r>
    </w:p>
    <w:p w:rsidR="003C263A" w:rsidRPr="003C263A" w:rsidRDefault="003C263A" w:rsidP="003C263A">
      <w:pPr>
        <w:shd w:val="clear" w:color="auto" w:fill="FFFFFF"/>
        <w:spacing w:after="150" w:line="330" w:lineRule="atLeast"/>
        <w:rPr>
          <w:rFonts w:eastAsia="Times New Roman" w:cs="Arial"/>
          <w:color w:val="000000"/>
          <w:sz w:val="24"/>
          <w:lang w:val="en-GB" w:eastAsia="en-GB"/>
        </w:rPr>
      </w:pPr>
      <w:r w:rsidRPr="003C263A">
        <w:rPr>
          <w:rFonts w:eastAsia="Times New Roman" w:cs="Arial"/>
          <w:i/>
          <w:iCs/>
          <w:color w:val="000000"/>
          <w:sz w:val="24"/>
          <w:lang w:val="en-GB" w:eastAsia="en-GB"/>
        </w:rPr>
        <w:t>'First language is the language to which the child was initially exposed during early development and continues to use this language in the home and community. If a child acquires English subsequent to early development then English is not their first language no matter how proficient in it they become.'</w:t>
      </w:r>
    </w:p>
    <w:p w:rsidR="003C263A" w:rsidRPr="003C263A" w:rsidRDefault="003C263A" w:rsidP="003C263A">
      <w:pPr>
        <w:shd w:val="clear" w:color="auto" w:fill="FFFFFF"/>
        <w:spacing w:after="150" w:line="330" w:lineRule="atLeast"/>
        <w:rPr>
          <w:rFonts w:eastAsia="Times New Roman" w:cs="Arial"/>
          <w:color w:val="000000"/>
          <w:sz w:val="24"/>
          <w:lang w:val="en-GB" w:eastAsia="en-GB"/>
        </w:rPr>
      </w:pPr>
      <w:r w:rsidRPr="003C263A">
        <w:rPr>
          <w:rFonts w:eastAsia="Times New Roman" w:cs="Arial"/>
          <w:i/>
          <w:iCs/>
          <w:color w:val="000000"/>
          <w:sz w:val="24"/>
          <w:lang w:val="en-GB" w:eastAsia="en-GB"/>
        </w:rPr>
        <w:t>Source: School census preparation and guidance for 2007 (DfES 2007)</w:t>
      </w:r>
    </w:p>
    <w:p w:rsidR="003C263A" w:rsidRDefault="003C263A" w:rsidP="003C263A">
      <w:pPr>
        <w:pStyle w:val="Bodycopyitalic"/>
        <w:rPr>
          <w:sz w:val="24"/>
        </w:rPr>
      </w:pPr>
    </w:p>
    <w:p w:rsidR="003C263A" w:rsidRDefault="003C263A" w:rsidP="003C263A">
      <w:pPr>
        <w:pStyle w:val="Bodycopyitalic"/>
        <w:rPr>
          <w:sz w:val="24"/>
        </w:rPr>
      </w:pPr>
      <w:r w:rsidRPr="003C263A">
        <w:rPr>
          <w:sz w:val="24"/>
        </w:rPr>
        <w:t>Pupils learning English as an additional language (EAL) share many common characteristics with pupils whose first language is English. However, their learning experience differs because they are learning in and through another language, and because they may come from cultural backgrounds and communities that have different understandings and expectations of education, language and learning.</w:t>
      </w:r>
    </w:p>
    <w:p w:rsidR="003C263A" w:rsidRPr="003C263A" w:rsidRDefault="003C263A" w:rsidP="003C263A">
      <w:pPr>
        <w:pStyle w:val="Bodycopyitalic"/>
        <w:rPr>
          <w:sz w:val="24"/>
          <w:lang w:val="en-GB"/>
        </w:rPr>
      </w:pPr>
    </w:p>
    <w:p w:rsidR="00A4777A" w:rsidRDefault="005356B6" w:rsidP="00975FF5">
      <w:pPr>
        <w:pStyle w:val="Heading1"/>
        <w:spacing w:after="0"/>
        <w:rPr>
          <w:color w:val="00B050"/>
          <w:sz w:val="24"/>
          <w:szCs w:val="24"/>
        </w:rPr>
      </w:pPr>
      <w:r>
        <w:rPr>
          <w:color w:val="00B050"/>
          <w:sz w:val="24"/>
          <w:szCs w:val="24"/>
        </w:rPr>
        <w:t>2. EAL intent</w:t>
      </w:r>
      <w:r w:rsidR="00A4777A" w:rsidRPr="005356B6">
        <w:rPr>
          <w:color w:val="00B050"/>
          <w:sz w:val="24"/>
          <w:szCs w:val="24"/>
        </w:rPr>
        <w:t xml:space="preserve"> </w:t>
      </w:r>
    </w:p>
    <w:p w:rsidR="005B361D" w:rsidRPr="005B361D" w:rsidRDefault="005B361D" w:rsidP="005B361D">
      <w:pPr>
        <w:pStyle w:val="6Abstract"/>
        <w:rPr>
          <w:lang w:val="en-GB"/>
        </w:rPr>
      </w:pPr>
    </w:p>
    <w:p w:rsidR="00A4777A" w:rsidRPr="000D76E2" w:rsidRDefault="00A4777A" w:rsidP="00975FF5">
      <w:pPr>
        <w:spacing w:after="0"/>
        <w:rPr>
          <w:sz w:val="12"/>
          <w:szCs w:val="22"/>
          <w:lang w:val="en-GB"/>
        </w:rPr>
      </w:pPr>
    </w:p>
    <w:p w:rsidR="007F4731" w:rsidRDefault="00EB53E5" w:rsidP="007F4731">
      <w:pPr>
        <w:pStyle w:val="ListParagraph"/>
        <w:spacing w:after="0" w:line="256" w:lineRule="auto"/>
        <w:ind w:left="0"/>
        <w:rPr>
          <w:sz w:val="22"/>
          <w:szCs w:val="22"/>
          <w:lang w:val="en-GB"/>
        </w:rPr>
      </w:pPr>
      <w:bookmarkStart w:id="1" w:name="_Toc59006315"/>
      <w:r>
        <w:rPr>
          <w:sz w:val="22"/>
          <w:szCs w:val="22"/>
          <w:lang w:val="en-GB"/>
        </w:rPr>
        <w:t>Our EAL intent has three key messages:</w:t>
      </w:r>
    </w:p>
    <w:p w:rsidR="00886D08" w:rsidRDefault="00886D08" w:rsidP="00886D08">
      <w:pPr>
        <w:pStyle w:val="ListParagraph"/>
        <w:spacing w:after="0" w:line="256" w:lineRule="auto"/>
        <w:ind w:left="360"/>
        <w:rPr>
          <w:sz w:val="22"/>
          <w:szCs w:val="22"/>
          <w:lang w:val="en-GB"/>
        </w:rPr>
      </w:pPr>
    </w:p>
    <w:p w:rsidR="00EB53E5" w:rsidRDefault="00886D08" w:rsidP="00687CC7">
      <w:pPr>
        <w:pStyle w:val="4Bulletedcopyblue"/>
        <w:rPr>
          <w:lang w:val="en-GB"/>
        </w:rPr>
      </w:pPr>
      <w:r>
        <w:rPr>
          <w:lang w:val="en-GB"/>
        </w:rPr>
        <w:t>Vocabulary is crucial and prioritised.</w:t>
      </w:r>
    </w:p>
    <w:p w:rsidR="007F4731" w:rsidRDefault="007F4731" w:rsidP="007F4731">
      <w:pPr>
        <w:pStyle w:val="ListParagraph"/>
        <w:spacing w:after="0" w:line="256" w:lineRule="auto"/>
        <w:ind w:left="0"/>
        <w:rPr>
          <w:sz w:val="22"/>
          <w:szCs w:val="22"/>
          <w:lang w:val="en-GB"/>
        </w:rPr>
      </w:pPr>
    </w:p>
    <w:p w:rsidR="00886D08" w:rsidRDefault="00886D08" w:rsidP="00886D08">
      <w:pPr>
        <w:pStyle w:val="ListParagraph"/>
        <w:spacing w:after="0" w:line="256" w:lineRule="auto"/>
        <w:ind w:left="0"/>
        <w:rPr>
          <w:sz w:val="22"/>
          <w:szCs w:val="22"/>
          <w:lang w:val="en-GB"/>
        </w:rPr>
      </w:pPr>
      <w:r>
        <w:rPr>
          <w:sz w:val="22"/>
          <w:szCs w:val="22"/>
          <w:lang w:val="en-GB"/>
        </w:rPr>
        <w:t xml:space="preserve">As </w:t>
      </w:r>
      <w:r w:rsidR="00CF3EF3">
        <w:rPr>
          <w:sz w:val="22"/>
          <w:szCs w:val="22"/>
          <w:lang w:val="en-GB"/>
        </w:rPr>
        <w:t>clearly stated</w:t>
      </w:r>
      <w:r>
        <w:rPr>
          <w:sz w:val="22"/>
          <w:szCs w:val="22"/>
          <w:lang w:val="en-GB"/>
        </w:rPr>
        <w:t xml:space="preserve"> in our whole school intent, St Mary’s Fields recognises that </w:t>
      </w:r>
      <w:r w:rsidR="00561B01">
        <w:rPr>
          <w:sz w:val="22"/>
          <w:szCs w:val="22"/>
          <w:lang w:val="en-GB"/>
        </w:rPr>
        <w:t xml:space="preserve">the </w:t>
      </w:r>
      <w:r>
        <w:rPr>
          <w:sz w:val="22"/>
          <w:szCs w:val="22"/>
          <w:lang w:val="en-GB"/>
        </w:rPr>
        <w:t xml:space="preserve">development of a robust </w:t>
      </w:r>
      <w:r w:rsidR="007F4731">
        <w:rPr>
          <w:sz w:val="22"/>
          <w:szCs w:val="22"/>
          <w:lang w:val="en-GB"/>
        </w:rPr>
        <w:t>vocabulary is essential</w:t>
      </w:r>
      <w:r w:rsidR="00CF3EF3">
        <w:rPr>
          <w:sz w:val="22"/>
          <w:szCs w:val="22"/>
          <w:lang w:val="en-GB"/>
        </w:rPr>
        <w:t xml:space="preserve"> for all children</w:t>
      </w:r>
      <w:r w:rsidR="007F4731">
        <w:rPr>
          <w:sz w:val="22"/>
          <w:szCs w:val="22"/>
          <w:lang w:val="en-GB"/>
        </w:rPr>
        <w:t xml:space="preserve">. </w:t>
      </w:r>
      <w:r w:rsidR="00CF3EF3">
        <w:rPr>
          <w:sz w:val="22"/>
          <w:szCs w:val="22"/>
          <w:lang w:val="en-GB"/>
        </w:rPr>
        <w:t xml:space="preserve">We know that for our EAL children, they are not only learning English, but are required to learn through English, and so we take additional steps to ensure that they are equipped with the vocabulary they need to succeed. For all children, vocabulary </w:t>
      </w:r>
      <w:r w:rsidR="007F4731">
        <w:rPr>
          <w:sz w:val="22"/>
          <w:szCs w:val="22"/>
          <w:lang w:val="en-GB"/>
        </w:rPr>
        <w:t xml:space="preserve">is a powerful predictor of their academic success and financial security in later life and we therefore prioritise the instruction of vocabulary in every aspect of our curriculum. </w:t>
      </w:r>
    </w:p>
    <w:p w:rsidR="007F4731" w:rsidRDefault="007F4731" w:rsidP="00886D08">
      <w:pPr>
        <w:pStyle w:val="ListParagraph"/>
        <w:spacing w:after="0" w:line="256" w:lineRule="auto"/>
        <w:ind w:left="0"/>
        <w:rPr>
          <w:sz w:val="22"/>
          <w:szCs w:val="22"/>
          <w:lang w:val="en-GB"/>
        </w:rPr>
      </w:pPr>
    </w:p>
    <w:p w:rsidR="00886D08" w:rsidRDefault="00886D08" w:rsidP="00687CC7">
      <w:pPr>
        <w:pStyle w:val="4Bulletedcopyblue"/>
        <w:rPr>
          <w:lang w:val="en-GB"/>
        </w:rPr>
      </w:pPr>
      <w:r>
        <w:rPr>
          <w:lang w:val="en-GB"/>
        </w:rPr>
        <w:t>Diversity is celebrated.</w:t>
      </w:r>
    </w:p>
    <w:p w:rsidR="007F4731" w:rsidRDefault="007F4731" w:rsidP="007F4731">
      <w:pPr>
        <w:pStyle w:val="ListParagraph"/>
        <w:spacing w:after="0" w:line="256" w:lineRule="auto"/>
        <w:ind w:left="0"/>
        <w:rPr>
          <w:sz w:val="22"/>
          <w:szCs w:val="22"/>
          <w:lang w:val="en-GB"/>
        </w:rPr>
      </w:pPr>
    </w:p>
    <w:p w:rsidR="006A5B0F" w:rsidRDefault="007F4731" w:rsidP="007F4731">
      <w:pPr>
        <w:pStyle w:val="ListParagraph"/>
        <w:spacing w:after="0" w:line="256" w:lineRule="auto"/>
        <w:ind w:left="0"/>
        <w:rPr>
          <w:sz w:val="22"/>
          <w:szCs w:val="22"/>
          <w:lang w:val="en-GB"/>
        </w:rPr>
      </w:pPr>
      <w:r>
        <w:rPr>
          <w:sz w:val="22"/>
          <w:szCs w:val="22"/>
          <w:lang w:val="en-GB"/>
        </w:rPr>
        <w:t>At St Mary’s Fields we have the privil</w:t>
      </w:r>
      <w:r w:rsidR="008E37CC">
        <w:rPr>
          <w:sz w:val="22"/>
          <w:szCs w:val="22"/>
          <w:lang w:val="en-GB"/>
        </w:rPr>
        <w:t>ege of teaching children from all over the world, speaking over 30</w:t>
      </w:r>
      <w:r>
        <w:rPr>
          <w:sz w:val="22"/>
          <w:szCs w:val="22"/>
          <w:lang w:val="en-GB"/>
        </w:rPr>
        <w:t xml:space="preserve"> languages. We celebrate this diversity,</w:t>
      </w:r>
      <w:r w:rsidR="008E37CC">
        <w:rPr>
          <w:sz w:val="22"/>
          <w:szCs w:val="22"/>
          <w:lang w:val="en-GB"/>
        </w:rPr>
        <w:t xml:space="preserve"> preparing our children to be positive members of multicultural Britain. This is reflected in our </w:t>
      </w:r>
      <w:r w:rsidR="006A5B0F">
        <w:rPr>
          <w:sz w:val="22"/>
          <w:szCs w:val="22"/>
          <w:lang w:val="en-GB"/>
        </w:rPr>
        <w:t xml:space="preserve">whole school intent: </w:t>
      </w:r>
    </w:p>
    <w:p w:rsidR="006A5B0F" w:rsidRDefault="006A5B0F" w:rsidP="007F4731">
      <w:pPr>
        <w:pStyle w:val="ListParagraph"/>
        <w:spacing w:after="0" w:line="256" w:lineRule="auto"/>
        <w:ind w:left="0"/>
        <w:rPr>
          <w:sz w:val="22"/>
          <w:szCs w:val="22"/>
          <w:lang w:val="en-GB"/>
        </w:rPr>
      </w:pPr>
    </w:p>
    <w:p w:rsidR="006A5B0F" w:rsidRDefault="006A5B0F" w:rsidP="006A5B0F">
      <w:pPr>
        <w:pStyle w:val="Bodycopyitalic"/>
      </w:pPr>
      <w:r>
        <w:t>Our curriculum p</w:t>
      </w:r>
      <w:r w:rsidRPr="00BC33B8">
        <w:t>rovides the opportunity for children to learn more about their own culture and that of others, through sharing and celebrating similarities and differences between us all</w:t>
      </w:r>
      <w:r>
        <w:t>.</w:t>
      </w:r>
    </w:p>
    <w:p w:rsidR="007F4731" w:rsidRDefault="006A5B0F" w:rsidP="007F4731">
      <w:pPr>
        <w:pStyle w:val="ListParagraph"/>
        <w:spacing w:after="0" w:line="256" w:lineRule="auto"/>
        <w:ind w:left="0"/>
        <w:rPr>
          <w:sz w:val="22"/>
          <w:szCs w:val="22"/>
          <w:lang w:val="en-GB"/>
        </w:rPr>
      </w:pPr>
      <w:r>
        <w:rPr>
          <w:sz w:val="22"/>
          <w:szCs w:val="22"/>
          <w:lang w:val="en-GB"/>
        </w:rPr>
        <w:t xml:space="preserve">Through our </w:t>
      </w:r>
      <w:r w:rsidR="008E37CC">
        <w:rPr>
          <w:sz w:val="22"/>
          <w:szCs w:val="22"/>
          <w:lang w:val="en-GB"/>
        </w:rPr>
        <w:t xml:space="preserve">character education, we build the values of inclusivity, empathy and respect. </w:t>
      </w:r>
      <w:r w:rsidR="007F4731">
        <w:rPr>
          <w:sz w:val="22"/>
          <w:szCs w:val="22"/>
          <w:lang w:val="en-GB"/>
        </w:rPr>
        <w:t xml:space="preserve">We </w:t>
      </w:r>
      <w:r>
        <w:rPr>
          <w:sz w:val="22"/>
          <w:szCs w:val="22"/>
          <w:lang w:val="en-GB"/>
        </w:rPr>
        <w:t xml:space="preserve">also </w:t>
      </w:r>
      <w:r w:rsidR="007F4731">
        <w:rPr>
          <w:sz w:val="22"/>
          <w:szCs w:val="22"/>
          <w:lang w:val="en-GB"/>
        </w:rPr>
        <w:t xml:space="preserve">encourage children and their families to maintain their </w:t>
      </w:r>
      <w:r w:rsidR="008E37CC">
        <w:rPr>
          <w:sz w:val="22"/>
          <w:szCs w:val="22"/>
          <w:lang w:val="en-GB"/>
        </w:rPr>
        <w:t>home</w:t>
      </w:r>
      <w:r w:rsidR="007F4731">
        <w:rPr>
          <w:sz w:val="22"/>
          <w:szCs w:val="22"/>
          <w:lang w:val="en-GB"/>
        </w:rPr>
        <w:t xml:space="preserve"> languages, as we believe that </w:t>
      </w:r>
      <w:r>
        <w:rPr>
          <w:sz w:val="22"/>
          <w:szCs w:val="22"/>
          <w:lang w:val="en-GB"/>
        </w:rPr>
        <w:t xml:space="preserve">multilingualism </w:t>
      </w:r>
      <w:r w:rsidR="00934B83">
        <w:rPr>
          <w:sz w:val="22"/>
          <w:szCs w:val="22"/>
          <w:lang w:val="en-GB"/>
        </w:rPr>
        <w:t>is</w:t>
      </w:r>
      <w:r>
        <w:rPr>
          <w:sz w:val="22"/>
          <w:szCs w:val="22"/>
          <w:lang w:val="en-GB"/>
        </w:rPr>
        <w:t xml:space="preserve"> an asset to our families.</w:t>
      </w:r>
    </w:p>
    <w:p w:rsidR="006A5B0F" w:rsidRDefault="006A5B0F" w:rsidP="007F4731">
      <w:pPr>
        <w:pStyle w:val="ListParagraph"/>
        <w:spacing w:after="0" w:line="256" w:lineRule="auto"/>
        <w:ind w:left="0"/>
        <w:rPr>
          <w:sz w:val="22"/>
          <w:szCs w:val="22"/>
          <w:lang w:val="en-GB"/>
        </w:rPr>
      </w:pPr>
    </w:p>
    <w:p w:rsidR="007F4731" w:rsidRDefault="007F4731" w:rsidP="00687CC7">
      <w:pPr>
        <w:pStyle w:val="4Bulletedcopyblue"/>
        <w:rPr>
          <w:lang w:val="en-GB"/>
        </w:rPr>
      </w:pPr>
      <w:r>
        <w:rPr>
          <w:lang w:val="en-GB"/>
        </w:rPr>
        <w:t>What’s good for EAL is good for all.</w:t>
      </w:r>
    </w:p>
    <w:p w:rsidR="007F4731" w:rsidRDefault="007F4731" w:rsidP="007F4731">
      <w:pPr>
        <w:pStyle w:val="ListParagraph"/>
        <w:spacing w:after="0" w:line="256" w:lineRule="auto"/>
        <w:ind w:left="0"/>
        <w:rPr>
          <w:sz w:val="22"/>
          <w:szCs w:val="22"/>
          <w:lang w:val="en-GB"/>
        </w:rPr>
      </w:pPr>
    </w:p>
    <w:p w:rsidR="00810581" w:rsidRDefault="007F4731" w:rsidP="007F4731">
      <w:pPr>
        <w:pStyle w:val="ListParagraph"/>
        <w:spacing w:after="0" w:line="256" w:lineRule="auto"/>
        <w:ind w:left="0"/>
        <w:rPr>
          <w:sz w:val="22"/>
          <w:szCs w:val="22"/>
          <w:lang w:val="en-GB"/>
        </w:rPr>
      </w:pPr>
      <w:r>
        <w:rPr>
          <w:sz w:val="22"/>
          <w:szCs w:val="22"/>
          <w:lang w:val="en-GB"/>
        </w:rPr>
        <w:t xml:space="preserve">The close links between our EAL intent and whole school intent are a reflection of this message. </w:t>
      </w:r>
      <w:r w:rsidR="00CF3EF3">
        <w:rPr>
          <w:sz w:val="22"/>
          <w:szCs w:val="22"/>
          <w:lang w:val="en-GB"/>
        </w:rPr>
        <w:t xml:space="preserve">We know that all children benefit from a curriculum which prioritises vocabulary and celebrates diversity. </w:t>
      </w:r>
      <w:r w:rsidR="00561B01">
        <w:rPr>
          <w:sz w:val="22"/>
          <w:szCs w:val="22"/>
          <w:lang w:val="en-GB"/>
        </w:rPr>
        <w:t>Our curriculum, which blends knowledge, skills and character education, is inclusive in its design. All children attending St Mary’s Fields benefit from the rich language and broad experiences which are embedded in their learning journeys.</w:t>
      </w:r>
    </w:p>
    <w:p w:rsidR="007F4731" w:rsidRPr="00684E09" w:rsidRDefault="00810581" w:rsidP="00810581">
      <w:pPr>
        <w:pStyle w:val="ListParagraph"/>
        <w:spacing w:after="0" w:line="256" w:lineRule="auto"/>
        <w:ind w:left="0"/>
        <w:rPr>
          <w:color w:val="666699"/>
          <w:sz w:val="12"/>
          <w:lang w:val="en-GB"/>
        </w:rPr>
      </w:pPr>
      <w:r>
        <w:rPr>
          <w:sz w:val="22"/>
          <w:szCs w:val="22"/>
          <w:lang w:val="en-GB"/>
        </w:rPr>
        <w:br w:type="page"/>
      </w:r>
    </w:p>
    <w:p w:rsidR="001C1141" w:rsidRPr="005356B6" w:rsidRDefault="003C263A" w:rsidP="00975FF5">
      <w:pPr>
        <w:pStyle w:val="Heading1"/>
        <w:spacing w:after="0"/>
        <w:rPr>
          <w:color w:val="00B050"/>
          <w:sz w:val="24"/>
          <w:szCs w:val="24"/>
          <w:u w:val="single"/>
        </w:rPr>
      </w:pPr>
      <w:r>
        <w:rPr>
          <w:color w:val="00B050"/>
          <w:sz w:val="24"/>
          <w:szCs w:val="24"/>
        </w:rPr>
        <w:t>3</w:t>
      </w:r>
      <w:r w:rsidR="001C1141" w:rsidRPr="005356B6">
        <w:rPr>
          <w:color w:val="00B050"/>
          <w:sz w:val="24"/>
          <w:szCs w:val="24"/>
        </w:rPr>
        <w:t xml:space="preserve">. </w:t>
      </w:r>
      <w:r w:rsidR="00291D60" w:rsidRPr="005356B6">
        <w:rPr>
          <w:color w:val="00B050"/>
          <w:sz w:val="24"/>
          <w:szCs w:val="24"/>
          <w:u w:val="single"/>
        </w:rPr>
        <w:t xml:space="preserve">Implementation of </w:t>
      </w:r>
      <w:r w:rsidR="00EB53E5" w:rsidRPr="005356B6">
        <w:rPr>
          <w:color w:val="00B050"/>
          <w:sz w:val="24"/>
          <w:szCs w:val="24"/>
          <w:u w:val="single"/>
        </w:rPr>
        <w:t>our EAL intent</w:t>
      </w:r>
    </w:p>
    <w:p w:rsidR="00975FF5" w:rsidRDefault="00975FF5" w:rsidP="00975FF5">
      <w:pPr>
        <w:pStyle w:val="6Abstract"/>
        <w:spacing w:after="0"/>
        <w:rPr>
          <w:sz w:val="12"/>
          <w:lang w:val="en-GB"/>
        </w:rPr>
      </w:pPr>
    </w:p>
    <w:p w:rsidR="006A5B0F" w:rsidRPr="000D76E2" w:rsidRDefault="006A5B0F" w:rsidP="00975FF5">
      <w:pPr>
        <w:pStyle w:val="6Abstract"/>
        <w:spacing w:after="0"/>
        <w:rPr>
          <w:sz w:val="12"/>
          <w:lang w:val="en-GB"/>
        </w:rPr>
      </w:pPr>
    </w:p>
    <w:p w:rsidR="0066799B" w:rsidRDefault="00684E09" w:rsidP="003C263A">
      <w:pPr>
        <w:pStyle w:val="4Bulletedcopyblue"/>
        <w:rPr>
          <w:lang w:val="en-GB"/>
        </w:rPr>
      </w:pPr>
      <w:r>
        <w:rPr>
          <w:noProof/>
        </w:rPr>
        <w:pict>
          <v:shape id="Picture 2" o:spid="_x0000_s1029" type="#_x0000_t75" alt="Image result for beck triangle tier" style="position:absolute;left:0;text-align:left;margin-left:553.35pt;margin-top:3.7pt;width:172.35pt;height:172.35pt;z-index:-1;visibility:visible;mso-wrap-style:square;mso-position-horizontal-relative:text;mso-position-vertical-relative:text;mso-width-relative:page;mso-height-relative:page" wrapcoords="-44 -44 -44 21600 21644 21600 21644 -44 -44 -44" o:bordertopcolor="#4bacc6" o:borderleftcolor="#4bacc6" o:borderbottomcolor="#4bacc6" o:borderrightcolor="#4bacc6" stroked="t" strokecolor="#4bacc6">
            <v:imagedata r:id="rId12" o:title="Image result for beck triangle tier"/>
            <w10:wrap type="tight"/>
          </v:shape>
        </w:pict>
      </w:r>
      <w:r w:rsidR="002700E5">
        <w:rPr>
          <w:lang w:val="en-GB"/>
        </w:rPr>
        <w:t>Vocabulary is crucial and prioritised.</w:t>
      </w:r>
    </w:p>
    <w:p w:rsidR="002700E5" w:rsidRDefault="002700E5" w:rsidP="002700E5">
      <w:pPr>
        <w:pStyle w:val="6Abstract"/>
        <w:spacing w:after="0"/>
        <w:rPr>
          <w:sz w:val="22"/>
          <w:szCs w:val="22"/>
          <w:lang w:val="en-GB"/>
        </w:rPr>
      </w:pPr>
    </w:p>
    <w:p w:rsidR="002700E5" w:rsidRDefault="002700E5" w:rsidP="002700E5">
      <w:pPr>
        <w:pStyle w:val="6Abstract"/>
        <w:spacing w:after="0"/>
        <w:rPr>
          <w:sz w:val="22"/>
          <w:szCs w:val="22"/>
          <w:lang w:val="en-GB"/>
        </w:rPr>
      </w:pPr>
      <w:r>
        <w:rPr>
          <w:sz w:val="22"/>
          <w:szCs w:val="22"/>
          <w:lang w:val="en-GB"/>
        </w:rPr>
        <w:t xml:space="preserve">The school follows the Word Aware approach to teaching vocabulary. In every subject area, key “tier 2” vocabulary is selected, taught, applied and reviewed, according to the STAR approach. Vocabulary is celebrated in every classroom, with prominent word walls displaying recently acquired language, and key topic language featured on displays. We know that around 12 exposures to a word are needed in order for a child to retain it in their long-term memory. As a result, vocabulary teaching is filtered into everything we do. </w:t>
      </w:r>
      <w:r w:rsidR="006A5B0F">
        <w:rPr>
          <w:sz w:val="22"/>
          <w:szCs w:val="22"/>
          <w:lang w:val="en-GB"/>
        </w:rPr>
        <w:t>Crucially, our whole school curriculum emphasises the importance of children making links and learning words in new contexts:</w:t>
      </w:r>
    </w:p>
    <w:p w:rsidR="006A5B0F" w:rsidRDefault="006A5B0F" w:rsidP="002700E5">
      <w:pPr>
        <w:pStyle w:val="6Abstract"/>
        <w:spacing w:after="0"/>
        <w:rPr>
          <w:sz w:val="22"/>
          <w:szCs w:val="22"/>
          <w:lang w:val="en-GB"/>
        </w:rPr>
      </w:pPr>
    </w:p>
    <w:p w:rsidR="006A5B0F" w:rsidRDefault="006A5B0F" w:rsidP="006A5B0F">
      <w:pPr>
        <w:pStyle w:val="Bodycopyitalic"/>
      </w:pPr>
      <w:r>
        <w:t>Our curriculum e</w:t>
      </w:r>
      <w:r w:rsidRPr="00366D87">
        <w:t>nsures the children have the opportunity to make links withi</w:t>
      </w:r>
      <w:r w:rsidR="00561B01">
        <w:t>n subjects, across subjects and</w:t>
      </w:r>
      <w:r w:rsidRPr="00366D87">
        <w:t xml:space="preserve"> to prior learning</w:t>
      </w:r>
      <w:r>
        <w:t>.</w:t>
      </w:r>
    </w:p>
    <w:p w:rsidR="006A5B0F" w:rsidRPr="00366D87" w:rsidRDefault="006A5B0F" w:rsidP="006A5B0F">
      <w:pPr>
        <w:pStyle w:val="Bodycopyitalic"/>
      </w:pPr>
      <w:r w:rsidRPr="00366D87">
        <w:t xml:space="preserve"> </w:t>
      </w:r>
    </w:p>
    <w:p w:rsidR="002700E5" w:rsidRDefault="002700E5" w:rsidP="003C263A">
      <w:pPr>
        <w:pStyle w:val="4Bulletedcopyblue"/>
        <w:rPr>
          <w:lang w:val="en-GB"/>
        </w:rPr>
      </w:pPr>
      <w:r>
        <w:rPr>
          <w:lang w:val="en-GB"/>
        </w:rPr>
        <w:t>Diversity is celebrated.</w:t>
      </w:r>
    </w:p>
    <w:p w:rsidR="002700E5" w:rsidRDefault="002700E5" w:rsidP="002700E5">
      <w:pPr>
        <w:pStyle w:val="6Abstract"/>
        <w:spacing w:after="0"/>
        <w:rPr>
          <w:sz w:val="22"/>
          <w:szCs w:val="22"/>
          <w:lang w:val="en-GB"/>
        </w:rPr>
      </w:pPr>
    </w:p>
    <w:p w:rsidR="00C6458D" w:rsidRDefault="0089431D" w:rsidP="002700E5">
      <w:pPr>
        <w:pStyle w:val="6Abstract"/>
        <w:spacing w:after="0"/>
        <w:rPr>
          <w:sz w:val="22"/>
          <w:szCs w:val="22"/>
          <w:lang w:val="en-GB"/>
        </w:rPr>
      </w:pPr>
      <w:r>
        <w:rPr>
          <w:sz w:val="22"/>
          <w:szCs w:val="22"/>
          <w:lang w:val="en-GB"/>
        </w:rPr>
        <w:t>Each subject area at St Mary’s Fields is monitored to ensure that diversity is embedded. Children learn about both male and female historical figures, scientists, politicians and artists, from many different backgrounds and cultures, reflecting the diversity of our own school. Our PSHE curriculum is designed to celebrate children’s similarities and differences, building children’s self-esteem and self-efficacy.</w:t>
      </w:r>
      <w:r w:rsidR="002700E5">
        <w:rPr>
          <w:sz w:val="22"/>
          <w:szCs w:val="22"/>
          <w:lang w:val="en-GB"/>
        </w:rPr>
        <w:t xml:space="preserve"> Immigration, a theme which is a personal experience of many of our children, is explored across the school as part of our history curriculum. Everyone’s Welcome resources are used in each year group, promo</w:t>
      </w:r>
      <w:r w:rsidR="00561B01">
        <w:rPr>
          <w:sz w:val="22"/>
          <w:szCs w:val="22"/>
          <w:lang w:val="en-GB"/>
        </w:rPr>
        <w:t>ting discussions of inclusivity, and children are encouraged to find their own voice, particularly through our Votes for Schools assemblies.</w:t>
      </w:r>
      <w:r>
        <w:rPr>
          <w:sz w:val="22"/>
          <w:szCs w:val="22"/>
          <w:lang w:val="en-GB"/>
        </w:rPr>
        <w:t xml:space="preserve"> Importantly, n</w:t>
      </w:r>
      <w:r w:rsidR="00C6458D">
        <w:rPr>
          <w:sz w:val="22"/>
          <w:szCs w:val="22"/>
          <w:lang w:val="en-GB"/>
        </w:rPr>
        <w:t>ew arrivals at St Mary’s Fields are welcomed through a carefully-designed induction process, detailed in Appendix A.</w:t>
      </w:r>
    </w:p>
    <w:p w:rsidR="002700E5" w:rsidRDefault="002700E5" w:rsidP="002700E5">
      <w:pPr>
        <w:pStyle w:val="6Abstract"/>
        <w:spacing w:after="0"/>
        <w:rPr>
          <w:sz w:val="22"/>
          <w:szCs w:val="22"/>
          <w:lang w:val="en-GB"/>
        </w:rPr>
      </w:pPr>
    </w:p>
    <w:p w:rsidR="0089431D" w:rsidRDefault="0089431D" w:rsidP="003C263A">
      <w:pPr>
        <w:pStyle w:val="4Bulletedcopyblue"/>
        <w:rPr>
          <w:lang w:val="en-GB"/>
        </w:rPr>
      </w:pPr>
      <w:r>
        <w:rPr>
          <w:lang w:val="en-GB"/>
        </w:rPr>
        <w:t>What’s good for EAL is good for all.</w:t>
      </w:r>
    </w:p>
    <w:p w:rsidR="0089431D" w:rsidRDefault="0089431D" w:rsidP="0089431D">
      <w:pPr>
        <w:pStyle w:val="6Abstract"/>
        <w:spacing w:after="0"/>
        <w:rPr>
          <w:sz w:val="22"/>
          <w:szCs w:val="22"/>
          <w:lang w:val="en-GB"/>
        </w:rPr>
      </w:pPr>
    </w:p>
    <w:p w:rsidR="0089431D" w:rsidRDefault="0089431D" w:rsidP="0089431D">
      <w:pPr>
        <w:pStyle w:val="6Abstract"/>
        <w:spacing w:after="0"/>
        <w:rPr>
          <w:sz w:val="22"/>
          <w:szCs w:val="22"/>
          <w:lang w:val="en-GB"/>
        </w:rPr>
      </w:pPr>
    </w:p>
    <w:p w:rsidR="0089431D" w:rsidRDefault="0089431D" w:rsidP="0089431D">
      <w:pPr>
        <w:pStyle w:val="6Abstract"/>
        <w:spacing w:after="0"/>
        <w:rPr>
          <w:sz w:val="22"/>
          <w:szCs w:val="22"/>
          <w:lang w:val="en-GB"/>
        </w:rPr>
      </w:pPr>
    </w:p>
    <w:p w:rsidR="0089431D" w:rsidRDefault="0089431D" w:rsidP="0089431D">
      <w:pPr>
        <w:pStyle w:val="6Abstract"/>
        <w:spacing w:after="0"/>
        <w:rPr>
          <w:sz w:val="22"/>
          <w:szCs w:val="22"/>
          <w:lang w:val="en-GB"/>
        </w:rPr>
      </w:pPr>
    </w:p>
    <w:p w:rsidR="002700E5" w:rsidRPr="00975FF5" w:rsidRDefault="002700E5" w:rsidP="002700E5">
      <w:pPr>
        <w:pStyle w:val="6Abstract"/>
        <w:spacing w:after="0"/>
        <w:rPr>
          <w:sz w:val="22"/>
          <w:szCs w:val="22"/>
          <w:lang w:val="en-GB"/>
        </w:rPr>
      </w:pPr>
    </w:p>
    <w:p w:rsidR="009A267F" w:rsidRPr="005356B6" w:rsidRDefault="005D4CD1" w:rsidP="009A267F">
      <w:pPr>
        <w:pStyle w:val="Heading1"/>
        <w:rPr>
          <w:color w:val="00B050"/>
          <w:sz w:val="24"/>
          <w:szCs w:val="24"/>
        </w:rPr>
      </w:pPr>
      <w:r w:rsidRPr="005356B6">
        <w:rPr>
          <w:color w:val="00B050"/>
          <w:sz w:val="24"/>
          <w:szCs w:val="24"/>
        </w:rPr>
        <w:lastRenderedPageBreak/>
        <w:t>3</w:t>
      </w:r>
      <w:r w:rsidR="009A267F" w:rsidRPr="005356B6">
        <w:rPr>
          <w:color w:val="00B050"/>
          <w:sz w:val="24"/>
          <w:szCs w:val="24"/>
        </w:rPr>
        <w:t xml:space="preserve">. </w:t>
      </w:r>
      <w:r w:rsidR="00461326" w:rsidRPr="005356B6">
        <w:rPr>
          <w:color w:val="00B050"/>
          <w:sz w:val="24"/>
          <w:szCs w:val="24"/>
        </w:rPr>
        <w:t>Legislation and guidance</w:t>
      </w:r>
      <w:bookmarkEnd w:id="1"/>
    </w:p>
    <w:p w:rsidR="00461326" w:rsidRPr="00B54D3C" w:rsidRDefault="00461326" w:rsidP="007F0018">
      <w:pPr>
        <w:pStyle w:val="1bodycopy10pt"/>
        <w:rPr>
          <w:sz w:val="22"/>
          <w:szCs w:val="22"/>
          <w:lang w:val="en-GB"/>
        </w:rPr>
      </w:pPr>
      <w:r w:rsidRPr="00B54D3C">
        <w:rPr>
          <w:sz w:val="22"/>
          <w:szCs w:val="22"/>
          <w:lang w:val="en-GB"/>
        </w:rPr>
        <w:t xml:space="preserve">This policy reflects the requirements of the </w:t>
      </w:r>
      <w:hyperlink r:id="rId13" w:history="1">
        <w:r w:rsidRPr="00B54D3C">
          <w:rPr>
            <w:rStyle w:val="Hyperlink"/>
            <w:sz w:val="22"/>
            <w:szCs w:val="22"/>
            <w:lang w:val="en-GB"/>
          </w:rPr>
          <w:t>National Curriculum programmes of study</w:t>
        </w:r>
      </w:hyperlink>
      <w:r w:rsidRPr="00B54D3C">
        <w:rPr>
          <w:sz w:val="22"/>
          <w:szCs w:val="22"/>
          <w:lang w:val="en-GB"/>
        </w:rPr>
        <w:t>, which all maintained schools in England must teach.</w:t>
      </w:r>
    </w:p>
    <w:p w:rsidR="00C6458D" w:rsidRPr="00B54D3C" w:rsidRDefault="00C6458D" w:rsidP="007F0018">
      <w:pPr>
        <w:pStyle w:val="1bodycopy10pt"/>
        <w:rPr>
          <w:sz w:val="22"/>
          <w:szCs w:val="22"/>
          <w:lang w:val="en-GB"/>
        </w:rPr>
      </w:pPr>
      <w:r>
        <w:rPr>
          <w:sz w:val="22"/>
          <w:szCs w:val="22"/>
          <w:lang w:val="en-GB"/>
        </w:rPr>
        <w:t>This policy</w:t>
      </w:r>
      <w:r w:rsidR="00461326" w:rsidRPr="00B54D3C">
        <w:rPr>
          <w:sz w:val="22"/>
          <w:szCs w:val="22"/>
          <w:lang w:val="en-GB"/>
        </w:rPr>
        <w:t xml:space="preserve"> reflects requirements for inclusion and equality as set out in the </w:t>
      </w:r>
      <w:hyperlink r:id="rId14" w:history="1">
        <w:r w:rsidR="00461326" w:rsidRPr="00B54D3C">
          <w:rPr>
            <w:rStyle w:val="Hyperlink"/>
            <w:sz w:val="22"/>
            <w:szCs w:val="22"/>
            <w:lang w:val="en-GB"/>
          </w:rPr>
          <w:t>Special Educational Needs and Disability Code of Practice 2014</w:t>
        </w:r>
      </w:hyperlink>
      <w:r w:rsidR="00461326" w:rsidRPr="00B54D3C">
        <w:rPr>
          <w:sz w:val="22"/>
          <w:szCs w:val="22"/>
          <w:lang w:val="en-GB"/>
        </w:rPr>
        <w:t xml:space="preserve"> and </w:t>
      </w:r>
      <w:hyperlink r:id="rId15" w:history="1">
        <w:r w:rsidR="00461326" w:rsidRPr="00B54D3C">
          <w:rPr>
            <w:rStyle w:val="Hyperlink"/>
            <w:sz w:val="22"/>
            <w:szCs w:val="22"/>
            <w:lang w:val="en-GB"/>
          </w:rPr>
          <w:t>Equality Act 2010</w:t>
        </w:r>
      </w:hyperlink>
      <w:r w:rsidR="00461326" w:rsidRPr="00B54D3C">
        <w:rPr>
          <w:sz w:val="22"/>
          <w:szCs w:val="22"/>
          <w:lang w:val="en-GB"/>
        </w:rPr>
        <w:t xml:space="preserve">, and refers to curriculum-related expectations of governing boards set out in the Department for Education’s </w:t>
      </w:r>
      <w:hyperlink r:id="rId16" w:history="1">
        <w:r w:rsidR="00461326" w:rsidRPr="00B54D3C">
          <w:rPr>
            <w:rStyle w:val="Hyperlink"/>
            <w:sz w:val="22"/>
            <w:szCs w:val="22"/>
            <w:lang w:val="en-GB"/>
          </w:rPr>
          <w:t>Governance Handbook</w:t>
        </w:r>
      </w:hyperlink>
      <w:r w:rsidR="00461326" w:rsidRPr="00B54D3C">
        <w:rPr>
          <w:sz w:val="22"/>
          <w:szCs w:val="22"/>
          <w:lang w:val="en-GB"/>
        </w:rPr>
        <w:t>.</w:t>
      </w:r>
    </w:p>
    <w:p w:rsidR="00AD3666" w:rsidRPr="005356B6" w:rsidRDefault="005D4CD1" w:rsidP="00AD3666">
      <w:pPr>
        <w:pStyle w:val="Heading1"/>
        <w:rPr>
          <w:color w:val="00B050"/>
          <w:sz w:val="24"/>
          <w:szCs w:val="24"/>
        </w:rPr>
      </w:pPr>
      <w:bookmarkStart w:id="2" w:name="_Toc59006316"/>
      <w:r w:rsidRPr="005356B6">
        <w:rPr>
          <w:color w:val="00B050"/>
          <w:sz w:val="24"/>
          <w:szCs w:val="24"/>
        </w:rPr>
        <w:t>4</w:t>
      </w:r>
      <w:r w:rsidR="00AD3666" w:rsidRPr="005356B6">
        <w:rPr>
          <w:color w:val="00B050"/>
          <w:sz w:val="24"/>
          <w:szCs w:val="24"/>
        </w:rPr>
        <w:t xml:space="preserve">. </w:t>
      </w:r>
      <w:r w:rsidR="00461326" w:rsidRPr="005356B6">
        <w:rPr>
          <w:color w:val="00B050"/>
          <w:sz w:val="24"/>
          <w:szCs w:val="24"/>
        </w:rPr>
        <w:t>Roles and responsibilities</w:t>
      </w:r>
      <w:bookmarkEnd w:id="2"/>
    </w:p>
    <w:p w:rsidR="00687CC7" w:rsidRPr="00687CC7" w:rsidRDefault="00687CC7" w:rsidP="00687CC7">
      <w:pPr>
        <w:pStyle w:val="1bodycopy10pt"/>
        <w:rPr>
          <w:b/>
        </w:rPr>
      </w:pPr>
      <w:r w:rsidRPr="00687CC7">
        <w:rPr>
          <w:b/>
        </w:rPr>
        <w:t>4.1 EAL Co-</w:t>
      </w:r>
      <w:proofErr w:type="spellStart"/>
      <w:r w:rsidRPr="00687CC7">
        <w:rPr>
          <w:b/>
        </w:rPr>
        <w:t>ordinator</w:t>
      </w:r>
      <w:proofErr w:type="spellEnd"/>
      <w:r w:rsidRPr="00687CC7">
        <w:rPr>
          <w:b/>
        </w:rPr>
        <w:t>:</w:t>
      </w:r>
    </w:p>
    <w:p w:rsidR="00687CC7" w:rsidRDefault="00687CC7" w:rsidP="00687CC7">
      <w:pPr>
        <w:pStyle w:val="ListParagraph"/>
        <w:numPr>
          <w:ilvl w:val="0"/>
          <w:numId w:val="34"/>
        </w:numPr>
        <w:spacing w:before="120"/>
        <w:contextualSpacing w:val="0"/>
      </w:pPr>
      <w:r>
        <w:t>Work with the headteacher and governor</w:t>
      </w:r>
      <w:r>
        <w:t>s</w:t>
      </w:r>
      <w:r>
        <w:t xml:space="preserve"> to determine the strategic development of the </w:t>
      </w:r>
      <w:r>
        <w:t>EAL</w:t>
      </w:r>
      <w:r>
        <w:t xml:space="preserve"> policy and provision in the school</w:t>
      </w:r>
    </w:p>
    <w:p w:rsidR="00687CC7" w:rsidRDefault="00687CC7" w:rsidP="00687CC7">
      <w:pPr>
        <w:pStyle w:val="ListParagraph"/>
        <w:numPr>
          <w:ilvl w:val="0"/>
          <w:numId w:val="34"/>
        </w:numPr>
        <w:spacing w:before="120"/>
        <w:contextualSpacing w:val="0"/>
      </w:pPr>
      <w:r>
        <w:t xml:space="preserve">Have day-to-day responsibility for the operation of this </w:t>
      </w:r>
      <w:r>
        <w:t>EAL</w:t>
      </w:r>
      <w:r>
        <w:t xml:space="preserve"> policy and the co-ordination of specific provision m</w:t>
      </w:r>
      <w:r>
        <w:t>ade to support pupils who speak English as an additional language</w:t>
      </w:r>
      <w:r>
        <w:t xml:space="preserve">, including those who </w:t>
      </w:r>
      <w:r>
        <w:t>are new arrivals</w:t>
      </w:r>
    </w:p>
    <w:p w:rsidR="00687CC7" w:rsidRDefault="00687CC7" w:rsidP="00687CC7">
      <w:pPr>
        <w:pStyle w:val="ListParagraph"/>
        <w:numPr>
          <w:ilvl w:val="0"/>
          <w:numId w:val="34"/>
        </w:numPr>
        <w:spacing w:before="120"/>
        <w:contextualSpacing w:val="0"/>
      </w:pPr>
      <w:r>
        <w:t>Provide professional guidance to colleagues and work with staff, parents, and other agen</w:t>
      </w:r>
      <w:r>
        <w:t xml:space="preserve">cies to ensure that pupils who speak English as an additional language </w:t>
      </w:r>
      <w:r>
        <w:t xml:space="preserve">receive appropriate support and high quality teaching </w:t>
      </w:r>
    </w:p>
    <w:p w:rsidR="00687CC7" w:rsidRDefault="00687CC7" w:rsidP="00687CC7">
      <w:pPr>
        <w:pStyle w:val="ListParagraph"/>
        <w:numPr>
          <w:ilvl w:val="0"/>
          <w:numId w:val="34"/>
        </w:numPr>
        <w:spacing w:before="120"/>
        <w:contextualSpacing w:val="0"/>
      </w:pPr>
      <w:r>
        <w:t>Work with the headteacher and governing board to ensure that the school meets its responsibilities under the Equality Act 2010 with regard to reasonable adjustments and access arrangements</w:t>
      </w:r>
    </w:p>
    <w:p w:rsidR="00687CC7" w:rsidRDefault="00687CC7" w:rsidP="00687CC7">
      <w:pPr>
        <w:pStyle w:val="ListParagraph"/>
        <w:numPr>
          <w:ilvl w:val="0"/>
          <w:numId w:val="34"/>
        </w:numPr>
        <w:spacing w:before="120"/>
        <w:contextualSpacing w:val="0"/>
      </w:pPr>
      <w:r>
        <w:t xml:space="preserve">Ensure the school keeps the records of all pupils </w:t>
      </w:r>
      <w:r>
        <w:t>who speak English as an additional language up to date, including accurate induction records for new arrivals</w:t>
      </w:r>
    </w:p>
    <w:p w:rsidR="00687CC7" w:rsidRDefault="00687CC7" w:rsidP="00687CC7">
      <w:pPr>
        <w:rPr>
          <w:rFonts w:cs="Arial"/>
          <w:b/>
          <w:sz w:val="22"/>
          <w:szCs w:val="22"/>
        </w:rPr>
      </w:pPr>
      <w:r>
        <w:rPr>
          <w:rFonts w:cs="Arial"/>
          <w:b/>
          <w:sz w:val="22"/>
          <w:szCs w:val="22"/>
        </w:rPr>
        <w:t xml:space="preserve">4.2 The </w:t>
      </w:r>
      <w:r>
        <w:rPr>
          <w:rFonts w:cs="Arial"/>
          <w:b/>
          <w:sz w:val="22"/>
          <w:szCs w:val="22"/>
        </w:rPr>
        <w:t>governing board</w:t>
      </w:r>
    </w:p>
    <w:p w:rsidR="00687CC7" w:rsidRDefault="00687CC7" w:rsidP="00687CC7">
      <w:pPr>
        <w:rPr>
          <w:rFonts w:cs="Arial"/>
          <w:szCs w:val="20"/>
        </w:rPr>
      </w:pPr>
      <w:r>
        <w:rPr>
          <w:rFonts w:cs="Arial"/>
          <w:szCs w:val="20"/>
        </w:rPr>
        <w:t xml:space="preserve">The governing board </w:t>
      </w:r>
      <w:r>
        <w:rPr>
          <w:rFonts w:cs="Arial"/>
          <w:szCs w:val="20"/>
        </w:rPr>
        <w:t>will:</w:t>
      </w:r>
    </w:p>
    <w:p w:rsidR="00687CC7" w:rsidRDefault="00687CC7" w:rsidP="00687CC7">
      <w:pPr>
        <w:pStyle w:val="ListParagraph"/>
        <w:numPr>
          <w:ilvl w:val="0"/>
          <w:numId w:val="34"/>
        </w:numPr>
        <w:spacing w:before="120"/>
        <w:contextualSpacing w:val="0"/>
      </w:pPr>
      <w:r>
        <w:t xml:space="preserve">Monitor the quality and effectiveness of </w:t>
      </w:r>
      <w:r>
        <w:t>EAL</w:t>
      </w:r>
      <w:r>
        <w:t xml:space="preserve"> provision within the school </w:t>
      </w:r>
    </w:p>
    <w:p w:rsidR="00687CC7" w:rsidRDefault="00687CC7" w:rsidP="00687CC7">
      <w:pPr>
        <w:pStyle w:val="ListParagraph"/>
        <w:numPr>
          <w:ilvl w:val="0"/>
          <w:numId w:val="34"/>
        </w:numPr>
        <w:spacing w:before="120"/>
        <w:contextualSpacing w:val="0"/>
      </w:pPr>
      <w:r>
        <w:t xml:space="preserve">Work with the headteacher and </w:t>
      </w:r>
      <w:r>
        <w:t xml:space="preserve">EAL coordinator </w:t>
      </w:r>
      <w:r>
        <w:t xml:space="preserve"> to determine the strategic development of the </w:t>
      </w:r>
      <w:r>
        <w:t>EAL</w:t>
      </w:r>
      <w:r>
        <w:t xml:space="preserve"> policy and provision in the school </w:t>
      </w:r>
    </w:p>
    <w:p w:rsidR="00687CC7" w:rsidRDefault="00687CC7" w:rsidP="00687CC7">
      <w:pPr>
        <w:rPr>
          <w:rFonts w:cs="Arial"/>
          <w:b/>
          <w:sz w:val="22"/>
          <w:szCs w:val="22"/>
        </w:rPr>
      </w:pPr>
      <w:r>
        <w:rPr>
          <w:rFonts w:cs="Arial"/>
          <w:b/>
          <w:sz w:val="22"/>
          <w:szCs w:val="22"/>
        </w:rPr>
        <w:t xml:space="preserve">4.3 The headteacher </w:t>
      </w:r>
    </w:p>
    <w:p w:rsidR="00687CC7" w:rsidRDefault="00687CC7" w:rsidP="00687CC7">
      <w:pPr>
        <w:rPr>
          <w:rFonts w:cs="Arial"/>
          <w:szCs w:val="20"/>
        </w:rPr>
      </w:pPr>
      <w:r>
        <w:rPr>
          <w:rFonts w:cs="Arial"/>
          <w:szCs w:val="20"/>
        </w:rPr>
        <w:t>The headteacher will:</w:t>
      </w:r>
    </w:p>
    <w:p w:rsidR="00687CC7" w:rsidRDefault="00687CC7" w:rsidP="00687CC7">
      <w:pPr>
        <w:pStyle w:val="ListParagraph"/>
        <w:numPr>
          <w:ilvl w:val="0"/>
          <w:numId w:val="34"/>
        </w:numPr>
        <w:spacing w:before="120"/>
        <w:contextualSpacing w:val="0"/>
      </w:pPr>
      <w:r>
        <w:t xml:space="preserve">Work with the </w:t>
      </w:r>
      <w:r>
        <w:t>EAL coordinator</w:t>
      </w:r>
      <w:r>
        <w:t xml:space="preserve"> and </w:t>
      </w:r>
      <w:r>
        <w:t>governing board</w:t>
      </w:r>
      <w:r>
        <w:t xml:space="preserve"> to determine the strategic development of the </w:t>
      </w:r>
      <w:r>
        <w:t>EAL</w:t>
      </w:r>
      <w:r>
        <w:t xml:space="preserve"> policy and provision in the school </w:t>
      </w:r>
    </w:p>
    <w:p w:rsidR="00687CC7" w:rsidRDefault="00687CC7" w:rsidP="00687CC7">
      <w:pPr>
        <w:pStyle w:val="ListParagraph"/>
        <w:numPr>
          <w:ilvl w:val="0"/>
          <w:numId w:val="34"/>
        </w:numPr>
        <w:spacing w:before="120"/>
        <w:contextualSpacing w:val="0"/>
      </w:pPr>
      <w:r>
        <w:t xml:space="preserve">Have overall responsibility for the provision and progress of learners </w:t>
      </w:r>
      <w:r>
        <w:t>who speak English as an additional language</w:t>
      </w:r>
    </w:p>
    <w:p w:rsidR="00687CC7" w:rsidRDefault="00687CC7" w:rsidP="00687CC7">
      <w:pPr>
        <w:rPr>
          <w:rFonts w:cs="Arial"/>
          <w:b/>
          <w:sz w:val="22"/>
          <w:szCs w:val="22"/>
        </w:rPr>
      </w:pPr>
      <w:r>
        <w:rPr>
          <w:rFonts w:cs="Arial"/>
          <w:b/>
          <w:sz w:val="22"/>
          <w:szCs w:val="22"/>
        </w:rPr>
        <w:t>4.4 Class teachers</w:t>
      </w:r>
    </w:p>
    <w:p w:rsidR="00687CC7" w:rsidRDefault="00687CC7" w:rsidP="00687CC7">
      <w:pPr>
        <w:rPr>
          <w:rFonts w:cs="Arial"/>
          <w:szCs w:val="20"/>
        </w:rPr>
      </w:pPr>
      <w:r>
        <w:rPr>
          <w:rFonts w:cs="Arial"/>
          <w:szCs w:val="20"/>
        </w:rPr>
        <w:t>Each class teacher is responsible for:</w:t>
      </w:r>
    </w:p>
    <w:p w:rsidR="00687CC7" w:rsidRDefault="00687CC7" w:rsidP="00687CC7">
      <w:pPr>
        <w:pStyle w:val="ListParagraph"/>
        <w:numPr>
          <w:ilvl w:val="0"/>
          <w:numId w:val="34"/>
        </w:numPr>
        <w:spacing w:before="120"/>
        <w:contextualSpacing w:val="0"/>
      </w:pPr>
      <w:r>
        <w:t>The progress and development of every pupil in their class</w:t>
      </w:r>
    </w:p>
    <w:p w:rsidR="00687CC7" w:rsidRDefault="00687CC7" w:rsidP="00687CC7">
      <w:pPr>
        <w:pStyle w:val="ListParagraph"/>
        <w:numPr>
          <w:ilvl w:val="0"/>
          <w:numId w:val="34"/>
        </w:numPr>
        <w:spacing w:before="120"/>
        <w:contextualSpacing w:val="0"/>
      </w:pPr>
      <w:r>
        <w:lastRenderedPageBreak/>
        <w:t xml:space="preserve">Working closely with any teaching assistants or specialist staff to plan and assess the impact of support and interventions and how they can be linked to classroom teaching </w:t>
      </w:r>
    </w:p>
    <w:p w:rsidR="00687CC7" w:rsidRDefault="00687CC7" w:rsidP="00687CC7">
      <w:pPr>
        <w:pStyle w:val="ListParagraph"/>
        <w:numPr>
          <w:ilvl w:val="0"/>
          <w:numId w:val="34"/>
        </w:numPr>
        <w:spacing w:before="120"/>
        <w:contextualSpacing w:val="0"/>
      </w:pPr>
      <w:r>
        <w:t>Providing a supportive, welcoming start for any new arrivals</w:t>
      </w:r>
    </w:p>
    <w:p w:rsidR="00687CC7" w:rsidRDefault="00687CC7" w:rsidP="00687CC7">
      <w:pPr>
        <w:pStyle w:val="ListParagraph"/>
        <w:numPr>
          <w:ilvl w:val="0"/>
          <w:numId w:val="34"/>
        </w:numPr>
        <w:spacing w:before="120"/>
        <w:contextualSpacing w:val="0"/>
      </w:pPr>
      <w:r>
        <w:t xml:space="preserve">Working with the </w:t>
      </w:r>
      <w:r>
        <w:t>EAL coordinator</w:t>
      </w:r>
      <w:r>
        <w:t xml:space="preserve"> to review each pupil’s progress and development and decide on any changes to provision </w:t>
      </w:r>
    </w:p>
    <w:p w:rsidR="00687CC7" w:rsidRDefault="00687CC7" w:rsidP="00687CC7">
      <w:pPr>
        <w:pStyle w:val="ListParagraph"/>
        <w:numPr>
          <w:ilvl w:val="0"/>
          <w:numId w:val="34"/>
        </w:numPr>
        <w:spacing w:before="120"/>
        <w:contextualSpacing w:val="0"/>
      </w:pPr>
      <w:r>
        <w:t xml:space="preserve">Ensuring they follow this </w:t>
      </w:r>
      <w:r>
        <w:t>EAL</w:t>
      </w:r>
      <w:r>
        <w:t xml:space="preserve"> policy </w:t>
      </w:r>
    </w:p>
    <w:p w:rsidR="003C263A" w:rsidRPr="005B361D" w:rsidRDefault="003C263A" w:rsidP="00461326">
      <w:pPr>
        <w:rPr>
          <w:b/>
          <w:color w:val="403152"/>
          <w:sz w:val="24"/>
          <w:szCs w:val="22"/>
          <w:lang w:val="en-GB"/>
        </w:rPr>
      </w:pPr>
    </w:p>
    <w:p w:rsidR="005B361D" w:rsidRPr="005B361D" w:rsidRDefault="00461326" w:rsidP="005B361D">
      <w:pPr>
        <w:pStyle w:val="Heading1"/>
        <w:rPr>
          <w:color w:val="00B050"/>
          <w:sz w:val="24"/>
          <w:szCs w:val="24"/>
        </w:rPr>
      </w:pPr>
      <w:bookmarkStart w:id="3" w:name="_Toc59006318"/>
      <w:r w:rsidRPr="003C263A">
        <w:rPr>
          <w:color w:val="00B050"/>
          <w:sz w:val="24"/>
          <w:szCs w:val="24"/>
        </w:rPr>
        <w:t>5. Inclusion</w:t>
      </w:r>
      <w:bookmarkStart w:id="4" w:name="_GoBack"/>
      <w:bookmarkEnd w:id="3"/>
      <w:bookmarkEnd w:id="4"/>
    </w:p>
    <w:p w:rsidR="0089431D" w:rsidRDefault="0089431D" w:rsidP="00461326">
      <w:pPr>
        <w:rPr>
          <w:sz w:val="22"/>
          <w:szCs w:val="22"/>
          <w:lang w:val="en-GB"/>
        </w:rPr>
      </w:pPr>
      <w:r>
        <w:rPr>
          <w:sz w:val="22"/>
          <w:szCs w:val="22"/>
          <w:lang w:val="en-GB"/>
        </w:rPr>
        <w:t>Inclusive practice for EAL learners is explicitly stated in the National Curriculum:</w:t>
      </w:r>
    </w:p>
    <w:p w:rsidR="0089431D" w:rsidRPr="0089431D" w:rsidRDefault="0089431D" w:rsidP="0089431D">
      <w:pPr>
        <w:pStyle w:val="Bodycopyitalic"/>
        <w:rPr>
          <w:lang w:val="en-GB" w:eastAsia="en-GB"/>
        </w:rPr>
      </w:pPr>
      <w:r w:rsidRPr="0089431D">
        <w:rPr>
          <w:lang w:val="en-GB" w:eastAsia="en-GB"/>
        </w:rPr>
        <w:t>4.5 Teachers must also take account of the needs of pupils whose first language is not English. Monitoring of progress should take account of the pupil’s age, length of time in this country, previous educational experience and ability in other languages.</w:t>
      </w:r>
    </w:p>
    <w:p w:rsidR="0089431D" w:rsidRPr="0089431D" w:rsidRDefault="0089431D" w:rsidP="0089431D">
      <w:pPr>
        <w:pStyle w:val="Bodycopyitalic"/>
        <w:rPr>
          <w:lang w:val="en-GB" w:eastAsia="en-GB"/>
        </w:rPr>
      </w:pPr>
      <w:r w:rsidRPr="0089431D">
        <w:rPr>
          <w:lang w:val="en-GB" w:eastAsia="en-GB"/>
        </w:rPr>
        <w:t>4.6 The ability of pupils for whom English is an Additional Language to take part in the national curriculum may be in advance of their communication skills in English. Teachers should plan teaching opportunities to help pupils develop their English and should aim to provide the support pupils need to take part in all subjects.</w:t>
      </w:r>
    </w:p>
    <w:p w:rsidR="002700E5" w:rsidRDefault="002700E5" w:rsidP="00461326">
      <w:pPr>
        <w:rPr>
          <w:sz w:val="22"/>
          <w:szCs w:val="22"/>
          <w:lang w:val="en-GB"/>
        </w:rPr>
      </w:pPr>
      <w:r>
        <w:rPr>
          <w:sz w:val="22"/>
          <w:szCs w:val="22"/>
          <w:lang w:val="en-GB"/>
        </w:rPr>
        <w:t>Learners speaking English as an additional language</w:t>
      </w:r>
      <w:r w:rsidR="002D0473">
        <w:rPr>
          <w:sz w:val="22"/>
          <w:szCs w:val="22"/>
          <w:lang w:val="en-GB"/>
        </w:rPr>
        <w:t xml:space="preserve"> may also have other needs and differences. It is essential that cognitive challenge for all EAL learners is appropriate. Having limited English does not mean that a child is a low-attainer. This is why effective assessment is essential for all EAL learners.</w:t>
      </w:r>
    </w:p>
    <w:p w:rsidR="00461326" w:rsidRPr="00975FF5" w:rsidRDefault="00461326" w:rsidP="00461326">
      <w:pPr>
        <w:rPr>
          <w:sz w:val="22"/>
          <w:szCs w:val="22"/>
          <w:lang w:val="en-GB"/>
        </w:rPr>
      </w:pPr>
      <w:r w:rsidRPr="00975FF5">
        <w:rPr>
          <w:sz w:val="22"/>
          <w:szCs w:val="22"/>
          <w:lang w:val="en-GB"/>
        </w:rPr>
        <w:t xml:space="preserve">Teachers will use appropriate assessment to set ambitious targets and plan challenging work for all </w:t>
      </w:r>
      <w:r w:rsidR="002D0473">
        <w:rPr>
          <w:sz w:val="22"/>
          <w:szCs w:val="22"/>
          <w:lang w:val="en-GB"/>
        </w:rPr>
        <w:t>EAL pupils</w:t>
      </w:r>
      <w:r w:rsidRPr="00975FF5">
        <w:rPr>
          <w:sz w:val="22"/>
          <w:szCs w:val="22"/>
          <w:lang w:val="en-GB"/>
        </w:rPr>
        <w:t>, including:</w:t>
      </w:r>
    </w:p>
    <w:p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More able pupils</w:t>
      </w:r>
    </w:p>
    <w:p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with low prior attainment</w:t>
      </w:r>
    </w:p>
    <w:p w:rsidR="00461326" w:rsidRPr="00975FF5" w:rsidRDefault="00461326" w:rsidP="00371A98">
      <w:pPr>
        <w:pStyle w:val="4Bulletedcopyblue"/>
        <w:numPr>
          <w:ilvl w:val="0"/>
          <w:numId w:val="27"/>
        </w:numPr>
        <w:spacing w:after="0"/>
        <w:rPr>
          <w:sz w:val="22"/>
          <w:szCs w:val="22"/>
          <w:lang w:val="en-GB"/>
        </w:rPr>
      </w:pPr>
      <w:r w:rsidRPr="00975FF5">
        <w:rPr>
          <w:sz w:val="22"/>
          <w:szCs w:val="22"/>
          <w:lang w:val="en-GB"/>
        </w:rPr>
        <w:t>Pupils from disadvantaged backgrounds</w:t>
      </w:r>
    </w:p>
    <w:p w:rsidR="00461326" w:rsidRDefault="00461326" w:rsidP="00371A98">
      <w:pPr>
        <w:pStyle w:val="4Bulletedcopyblue"/>
        <w:numPr>
          <w:ilvl w:val="0"/>
          <w:numId w:val="27"/>
        </w:numPr>
        <w:spacing w:after="0"/>
        <w:rPr>
          <w:sz w:val="22"/>
          <w:szCs w:val="22"/>
          <w:lang w:val="en-GB"/>
        </w:rPr>
      </w:pPr>
      <w:r w:rsidRPr="00975FF5">
        <w:rPr>
          <w:sz w:val="22"/>
          <w:szCs w:val="22"/>
          <w:lang w:val="en-GB"/>
        </w:rPr>
        <w:t>Pupils with SEN</w:t>
      </w:r>
    </w:p>
    <w:p w:rsidR="002D0473" w:rsidRPr="00975FF5" w:rsidRDefault="002D0473" w:rsidP="00371A98">
      <w:pPr>
        <w:pStyle w:val="4Bulletedcopyblue"/>
        <w:numPr>
          <w:ilvl w:val="0"/>
          <w:numId w:val="27"/>
        </w:numPr>
        <w:spacing w:after="0"/>
        <w:rPr>
          <w:sz w:val="22"/>
          <w:szCs w:val="22"/>
          <w:lang w:val="en-GB"/>
        </w:rPr>
      </w:pPr>
      <w:r>
        <w:rPr>
          <w:sz w:val="22"/>
          <w:szCs w:val="22"/>
          <w:lang w:val="en-GB"/>
        </w:rPr>
        <w:t>Pupils who are new arrivals</w:t>
      </w:r>
    </w:p>
    <w:p w:rsidR="002700E5" w:rsidRDefault="002700E5" w:rsidP="00461326">
      <w:pPr>
        <w:rPr>
          <w:sz w:val="22"/>
          <w:szCs w:val="22"/>
          <w:lang w:val="en-GB"/>
        </w:rPr>
      </w:pPr>
    </w:p>
    <w:p w:rsidR="00C6458D" w:rsidRDefault="00C6458D" w:rsidP="00461326">
      <w:pPr>
        <w:rPr>
          <w:sz w:val="22"/>
          <w:szCs w:val="22"/>
          <w:lang w:val="en-GB"/>
        </w:rPr>
      </w:pPr>
      <w:r>
        <w:rPr>
          <w:sz w:val="22"/>
          <w:szCs w:val="22"/>
          <w:lang w:val="en-GB"/>
        </w:rPr>
        <w:t xml:space="preserve">EAL learners have equal access to the school’s provision, including to SEN provision and the provision for more able pupils, as appropriate. </w:t>
      </w:r>
    </w:p>
    <w:p w:rsidR="00C6458D" w:rsidRDefault="00C6458D" w:rsidP="00461326">
      <w:pPr>
        <w:rPr>
          <w:sz w:val="22"/>
          <w:szCs w:val="22"/>
          <w:lang w:val="en-GB"/>
        </w:rPr>
      </w:pPr>
    </w:p>
    <w:p w:rsidR="00461326" w:rsidRPr="005356B6" w:rsidRDefault="00461326" w:rsidP="007F0018">
      <w:pPr>
        <w:pStyle w:val="Heading1"/>
        <w:rPr>
          <w:color w:val="00B050"/>
          <w:sz w:val="24"/>
          <w:szCs w:val="24"/>
        </w:rPr>
      </w:pPr>
      <w:bookmarkStart w:id="5" w:name="_Toc59006319"/>
      <w:r w:rsidRPr="005356B6">
        <w:rPr>
          <w:color w:val="00B050"/>
          <w:sz w:val="24"/>
          <w:szCs w:val="24"/>
        </w:rPr>
        <w:t>6. Monitoring arrangements</w:t>
      </w:r>
      <w:bookmarkEnd w:id="5"/>
    </w:p>
    <w:p w:rsidR="005B361D" w:rsidRPr="005B361D" w:rsidRDefault="005B361D" w:rsidP="00371A98">
      <w:pPr>
        <w:pStyle w:val="1bodycopy10pt"/>
        <w:numPr>
          <w:ilvl w:val="0"/>
          <w:numId w:val="28"/>
        </w:numPr>
        <w:spacing w:after="0"/>
        <w:ind w:left="360"/>
        <w:rPr>
          <w:i/>
          <w:sz w:val="22"/>
          <w:szCs w:val="22"/>
          <w:lang w:val="en-GB"/>
        </w:rPr>
      </w:pPr>
      <w:r>
        <w:rPr>
          <w:sz w:val="22"/>
          <w:szCs w:val="22"/>
          <w:lang w:val="en-GB"/>
        </w:rPr>
        <w:t xml:space="preserve">Effectiveness of the policy will be monitored by the EAL coordinator: learning walks, pupil interviews, work </w:t>
      </w:r>
      <w:proofErr w:type="spellStart"/>
      <w:r>
        <w:rPr>
          <w:sz w:val="22"/>
          <w:szCs w:val="22"/>
          <w:lang w:val="en-GB"/>
        </w:rPr>
        <w:t>scrutinies</w:t>
      </w:r>
      <w:proofErr w:type="spellEnd"/>
      <w:r>
        <w:rPr>
          <w:sz w:val="22"/>
          <w:szCs w:val="22"/>
          <w:lang w:val="en-GB"/>
        </w:rPr>
        <w:t>, data analysis, case studies, and scrutiny of knowledge organisers will all aid this monitoring.</w:t>
      </w:r>
    </w:p>
    <w:p w:rsidR="00461326" w:rsidRPr="003C263A" w:rsidRDefault="00E534FA" w:rsidP="00371A98">
      <w:pPr>
        <w:pStyle w:val="1bodycopy10pt"/>
        <w:numPr>
          <w:ilvl w:val="0"/>
          <w:numId w:val="28"/>
        </w:numPr>
        <w:spacing w:after="0"/>
        <w:ind w:left="360"/>
        <w:rPr>
          <w:i/>
          <w:sz w:val="22"/>
          <w:szCs w:val="22"/>
          <w:lang w:val="en-GB"/>
        </w:rPr>
      </w:pPr>
      <w:r w:rsidRPr="00975FF5">
        <w:rPr>
          <w:sz w:val="22"/>
          <w:szCs w:val="22"/>
          <w:lang w:val="en-GB"/>
        </w:rPr>
        <w:t xml:space="preserve">The </w:t>
      </w:r>
      <w:r w:rsidR="005B361D">
        <w:rPr>
          <w:sz w:val="22"/>
          <w:szCs w:val="22"/>
          <w:lang w:val="en-GB"/>
        </w:rPr>
        <w:t>headteacher and the EAL coordinator</w:t>
      </w:r>
      <w:r w:rsidRPr="00975FF5">
        <w:rPr>
          <w:sz w:val="22"/>
          <w:szCs w:val="22"/>
          <w:lang w:val="en-GB"/>
        </w:rPr>
        <w:t xml:space="preserve"> will review this policy every two years</w:t>
      </w:r>
      <w:r w:rsidR="004C6B0A" w:rsidRPr="00975FF5">
        <w:rPr>
          <w:sz w:val="22"/>
          <w:szCs w:val="22"/>
          <w:lang w:val="en-GB"/>
        </w:rPr>
        <w:t>.</w:t>
      </w:r>
      <w:r w:rsidR="00461326" w:rsidRPr="00975FF5">
        <w:rPr>
          <w:sz w:val="22"/>
          <w:szCs w:val="22"/>
          <w:lang w:val="en-GB"/>
        </w:rPr>
        <w:t xml:space="preserve"> At every review, the policy will be shared with the governing board.</w:t>
      </w:r>
    </w:p>
    <w:p w:rsidR="003C263A" w:rsidRPr="00975FF5" w:rsidRDefault="003C263A" w:rsidP="003C263A">
      <w:pPr>
        <w:pStyle w:val="1bodycopy10pt"/>
        <w:spacing w:after="0"/>
        <w:ind w:left="360"/>
        <w:rPr>
          <w:i/>
          <w:sz w:val="22"/>
          <w:szCs w:val="22"/>
          <w:lang w:val="en-GB"/>
        </w:rPr>
      </w:pPr>
    </w:p>
    <w:p w:rsidR="00461326" w:rsidRPr="003C263A" w:rsidRDefault="00461326" w:rsidP="00461326">
      <w:pPr>
        <w:pStyle w:val="Heading1"/>
        <w:rPr>
          <w:color w:val="00B050"/>
          <w:sz w:val="24"/>
          <w:szCs w:val="24"/>
        </w:rPr>
      </w:pPr>
      <w:bookmarkStart w:id="6" w:name="_Toc59006320"/>
      <w:r w:rsidRPr="003C263A">
        <w:rPr>
          <w:color w:val="00B050"/>
          <w:sz w:val="24"/>
          <w:szCs w:val="24"/>
        </w:rPr>
        <w:t>7. Links with other policies</w:t>
      </w:r>
      <w:bookmarkEnd w:id="6"/>
    </w:p>
    <w:p w:rsidR="00975FF5" w:rsidRDefault="00461326" w:rsidP="00461326">
      <w:pPr>
        <w:rPr>
          <w:sz w:val="22"/>
          <w:szCs w:val="22"/>
          <w:lang w:val="en-GB"/>
        </w:rPr>
      </w:pPr>
      <w:r w:rsidRPr="00975FF5">
        <w:rPr>
          <w:sz w:val="22"/>
          <w:szCs w:val="22"/>
          <w:lang w:val="en-GB"/>
        </w:rPr>
        <w:t>This policy links to the following policies and procedures:</w:t>
      </w:r>
      <w:r w:rsidR="00E534FA" w:rsidRPr="00975FF5">
        <w:rPr>
          <w:sz w:val="22"/>
          <w:szCs w:val="22"/>
          <w:lang w:val="en-GB"/>
        </w:rPr>
        <w:t xml:space="preserve"> </w:t>
      </w:r>
      <w:r w:rsidR="00E534FA" w:rsidRPr="0089431D">
        <w:rPr>
          <w:sz w:val="22"/>
          <w:szCs w:val="22"/>
          <w:highlight w:val="cyan"/>
          <w:lang w:val="en-GB"/>
        </w:rPr>
        <w:t xml:space="preserve">The Assessment Policy &amp; </w:t>
      </w:r>
      <w:proofErr w:type="gramStart"/>
      <w:r w:rsidR="00E534FA" w:rsidRPr="0089431D">
        <w:rPr>
          <w:sz w:val="22"/>
          <w:szCs w:val="22"/>
          <w:highlight w:val="cyan"/>
          <w:lang w:val="en-GB"/>
        </w:rPr>
        <w:t>The</w:t>
      </w:r>
      <w:proofErr w:type="gramEnd"/>
      <w:r w:rsidR="00E534FA" w:rsidRPr="0089431D">
        <w:rPr>
          <w:sz w:val="22"/>
          <w:szCs w:val="22"/>
          <w:highlight w:val="cyan"/>
          <w:lang w:val="en-GB"/>
        </w:rPr>
        <w:t xml:space="preserve"> Teaching &amp; Learning Policy.</w:t>
      </w:r>
      <w:r w:rsidR="005B361D">
        <w:rPr>
          <w:sz w:val="22"/>
          <w:szCs w:val="22"/>
          <w:lang w:val="en-GB"/>
        </w:rPr>
        <w:t xml:space="preserve"> </w:t>
      </w:r>
      <w:proofErr w:type="gramStart"/>
      <w:r w:rsidR="005B361D" w:rsidRPr="005B361D">
        <w:rPr>
          <w:sz w:val="22"/>
          <w:szCs w:val="22"/>
          <w:highlight w:val="cyan"/>
          <w:lang w:val="en-GB"/>
        </w:rPr>
        <w:t>Inclusion?</w:t>
      </w:r>
      <w:proofErr w:type="gramEnd"/>
    </w:p>
    <w:p w:rsidR="00975FF5" w:rsidRPr="00975FF5" w:rsidRDefault="00975FF5" w:rsidP="00975FF5">
      <w:pPr>
        <w:rPr>
          <w:sz w:val="22"/>
          <w:szCs w:val="22"/>
          <w:lang w:val="en-GB"/>
        </w:rPr>
      </w:pPr>
    </w:p>
    <w:p w:rsidR="00975FF5" w:rsidRPr="00975FF5" w:rsidRDefault="00975FF5" w:rsidP="00975FF5">
      <w:pPr>
        <w:rPr>
          <w:sz w:val="22"/>
          <w:szCs w:val="22"/>
          <w:lang w:val="en-GB"/>
        </w:rPr>
      </w:pPr>
    </w:p>
    <w:p w:rsidR="00F849B1" w:rsidRDefault="00F849B1" w:rsidP="00975FF5">
      <w:pPr>
        <w:tabs>
          <w:tab w:val="left" w:pos="2124"/>
        </w:tabs>
        <w:rPr>
          <w:noProof/>
          <w:lang w:val="en-GB" w:eastAsia="en-GB"/>
        </w:rPr>
      </w:pPr>
    </w:p>
    <w:p w:rsidR="00F849B1" w:rsidRPr="00975FF5" w:rsidRDefault="00F849B1" w:rsidP="00975FF5">
      <w:pPr>
        <w:tabs>
          <w:tab w:val="left" w:pos="2124"/>
        </w:tabs>
        <w:rPr>
          <w:sz w:val="22"/>
          <w:szCs w:val="22"/>
          <w:lang w:val="en-GB"/>
        </w:rPr>
      </w:pPr>
    </w:p>
    <w:sectPr w:rsidR="00F849B1" w:rsidRPr="00975FF5" w:rsidSect="005B361D">
      <w:headerReference w:type="even" r:id="rId17"/>
      <w:headerReference w:type="default" r:id="rId18"/>
      <w:footerReference w:type="default" r:id="rId19"/>
      <w:headerReference w:type="first" r:id="rId20"/>
      <w:footerReference w:type="first" r:id="rId21"/>
      <w:pgSz w:w="16840" w:h="11900" w:orient="landscape" w:code="9"/>
      <w:pgMar w:top="1077" w:right="992" w:bottom="1077" w:left="1701"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A8" w:rsidRDefault="00B748A8" w:rsidP="00626EDA">
      <w:r>
        <w:separator/>
      </w:r>
    </w:p>
  </w:endnote>
  <w:endnote w:type="continuationSeparator" w:id="0">
    <w:p w:rsidR="00B748A8" w:rsidRDefault="00B748A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assoonCRInfant">
    <w:altName w:val="Corbel"/>
    <w:charset w:val="00"/>
    <w:family w:val="auto"/>
    <w:pitch w:val="variable"/>
    <w:sig w:usb0="00000001"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09" w:rsidRDefault="00684E09">
    <w:pPr>
      <w:pStyle w:val="Footer"/>
    </w:pPr>
    <w:r>
      <w:fldChar w:fldCharType="begin"/>
    </w:r>
    <w:r>
      <w:instrText xml:space="preserve"> PAGE   \* MERGEFORMAT </w:instrText>
    </w:r>
    <w:r>
      <w:fldChar w:fldCharType="separate"/>
    </w:r>
    <w:r w:rsidR="005B361D">
      <w:rPr>
        <w:noProof/>
      </w:rPr>
      <w:t>1</w:t>
    </w:r>
    <w:r>
      <w:rPr>
        <w:noProof/>
      </w:rPr>
      <w:fldChar w:fldCharType="end"/>
    </w:r>
  </w:p>
  <w:p w:rsidR="00684E09" w:rsidRDefault="00684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1D" w:rsidRDefault="005B361D" w:rsidP="005B361D">
    <w:pPr>
      <w:pStyle w:val="Footer"/>
      <w:pBdr>
        <w:top w:val="single" w:sz="4" w:space="1" w:color="D9D9D9"/>
      </w:pBdr>
    </w:pPr>
  </w:p>
  <w:p w:rsidR="005B361D" w:rsidRDefault="005B361D" w:rsidP="005B361D">
    <w:pPr>
      <w:pStyle w:val="Footer"/>
      <w:pBdr>
        <w:top w:val="single" w:sz="4" w:space="1" w:color="D9D9D9"/>
      </w:pBdr>
      <w:rPr>
        <w:b/>
        <w:bCs/>
      </w:rPr>
    </w:pPr>
    <w:r>
      <w:fldChar w:fldCharType="begin"/>
    </w:r>
    <w:r>
      <w:instrText xml:space="preserve"> PAGE   \* MERGEFORMAT </w:instrText>
    </w:r>
    <w:r>
      <w:fldChar w:fldCharType="separate"/>
    </w:r>
    <w:r w:rsidRPr="005B361D">
      <w:rPr>
        <w:b/>
        <w:bCs/>
        <w:noProof/>
      </w:rPr>
      <w:t>2</w:t>
    </w:r>
    <w:r>
      <w:rPr>
        <w:b/>
        <w:bCs/>
        <w:noProof/>
      </w:rPr>
      <w:fldChar w:fldCharType="end"/>
    </w:r>
    <w:r>
      <w:rPr>
        <w:b/>
        <w:bCs/>
      </w:rPr>
      <w:t xml:space="preserve"> | </w:t>
    </w:r>
    <w:r w:rsidRPr="005B361D">
      <w:rPr>
        <w:spacing w:val="60"/>
      </w:rPr>
      <w:t>Page</w:t>
    </w:r>
  </w:p>
  <w:p w:rsidR="00684E09" w:rsidRPr="00512916" w:rsidRDefault="00684E09" w:rsidP="006F569D">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1D" w:rsidRDefault="005B361D" w:rsidP="005B361D">
    <w:pPr>
      <w:pStyle w:val="Footer"/>
      <w:pBdr>
        <w:top w:val="single" w:sz="4" w:space="1" w:color="D9D9D9"/>
      </w:pBdr>
      <w:rPr>
        <w:b/>
        <w:bCs/>
      </w:rPr>
    </w:pPr>
    <w:r>
      <w:fldChar w:fldCharType="begin"/>
    </w:r>
    <w:r>
      <w:instrText xml:space="preserve"> PAGE   \* MERGEFORMAT </w:instrText>
    </w:r>
    <w:r>
      <w:fldChar w:fldCharType="separate"/>
    </w:r>
    <w:r w:rsidRPr="005B361D">
      <w:rPr>
        <w:b/>
        <w:bCs/>
        <w:noProof/>
      </w:rPr>
      <w:t>1</w:t>
    </w:r>
    <w:r>
      <w:rPr>
        <w:b/>
        <w:bCs/>
        <w:noProof/>
      </w:rPr>
      <w:fldChar w:fldCharType="end"/>
    </w:r>
    <w:r>
      <w:rPr>
        <w:b/>
        <w:bCs/>
      </w:rPr>
      <w:t xml:space="preserve"> | </w:t>
    </w:r>
    <w:r w:rsidRPr="005B361D">
      <w:rPr>
        <w:spacing w:val="60"/>
      </w:rPr>
      <w:t>Page</w:t>
    </w:r>
  </w:p>
  <w:p w:rsidR="00684E09" w:rsidRPr="00510ED3" w:rsidRDefault="00684E09" w:rsidP="00510ED3">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A8" w:rsidRDefault="00B748A8" w:rsidP="00626EDA">
      <w:r>
        <w:separator/>
      </w:r>
    </w:p>
  </w:footnote>
  <w:footnote w:type="continuationSeparator" w:id="0">
    <w:p w:rsidR="00B748A8" w:rsidRDefault="00B748A8" w:rsidP="0062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09" w:rsidRDefault="00684E0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w10:wrap anchorx="margin" anchory="margin"/>
        </v:shape>
      </w:pict>
    </w:r>
    <w:r>
      <w:rPr>
        <w:noProof/>
      </w:rPr>
      <w:pict>
        <v:shape id="WordPictureWatermark2" o:spid="_x0000_s2049" type="#_x0000_t75" alt="keydocs-background"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1D" w:rsidRDefault="005B361D">
    <w:pPr>
      <w:pStyle w:val="Header"/>
    </w:pPr>
  </w:p>
  <w:p w:rsidR="00684E09" w:rsidRDefault="00684E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09" w:rsidRDefault="00684E09"/>
  <w:p w:rsidR="00684E09" w:rsidRDefault="00684E09" w:rsidP="00FE3F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3" type="#_x0000_t75" style="width:36pt;height:30.15pt" o:bullet="t">
        <v:imagedata r:id="rId1" o:title="Tick"/>
      </v:shape>
    </w:pict>
  </w:numPicBullet>
  <w:numPicBullet w:numPicBulletId="1">
    <w:pict>
      <v:shape id="_x0000_i1364" type="#_x0000_t75" style="width:30.15pt;height:30.15pt" o:bullet="t">
        <v:imagedata r:id="rId2" o:title="Cross"/>
      </v:shape>
    </w:pict>
  </w:numPicBullet>
  <w:numPicBullet w:numPicBulletId="2">
    <w:pict>
      <v:shape id="_x0000_i1365" type="#_x0000_t75" style="width:209.3pt;height:332.35pt" o:bullet="t">
        <v:imagedata r:id="rId3" o:title="art1EF6"/>
      </v:shape>
    </w:pict>
  </w:numPicBullet>
  <w:numPicBullet w:numPicBulletId="3">
    <w:pict>
      <v:shape id="_x0000_i1366" type="#_x0000_t75" style="width:209.3pt;height:332.35pt" o:bullet="t">
        <v:imagedata r:id="rId4" o:title="TK_LOGO_POINTER_RGB_bullet_blue"/>
      </v:shape>
    </w:pict>
  </w:numPicBullet>
  <w:abstractNum w:abstractNumId="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C71B75"/>
    <w:multiLevelType w:val="hybridMultilevel"/>
    <w:tmpl w:val="19A2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nsid w:val="0FD211DC"/>
    <w:multiLevelType w:val="hybridMultilevel"/>
    <w:tmpl w:val="1A92B51E"/>
    <w:lvl w:ilvl="0" w:tplc="66C87EBA">
      <w:start w:val="1"/>
      <w:numFmt w:val="bullet"/>
      <w:pStyle w:val="Heading1Cha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35F5B91"/>
    <w:multiLevelType w:val="hybridMultilevel"/>
    <w:tmpl w:val="2968F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B35EAF"/>
    <w:multiLevelType w:val="hybridMultilevel"/>
    <w:tmpl w:val="792AD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935E34"/>
    <w:multiLevelType w:val="hybridMultilevel"/>
    <w:tmpl w:val="6F2C7D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nsid w:val="372B1D8A"/>
    <w:multiLevelType w:val="hybridMultilevel"/>
    <w:tmpl w:val="FC80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2047F"/>
    <w:multiLevelType w:val="hybridMultilevel"/>
    <w:tmpl w:val="8F34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8910EF"/>
    <w:multiLevelType w:val="hybridMultilevel"/>
    <w:tmpl w:val="2C4E17D6"/>
    <w:lvl w:ilvl="0" w:tplc="CC2EB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3A43FC"/>
    <w:multiLevelType w:val="hybridMultilevel"/>
    <w:tmpl w:val="B0C8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5E6F52"/>
    <w:multiLevelType w:val="hybridMultilevel"/>
    <w:tmpl w:val="2968F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D20D5E"/>
    <w:multiLevelType w:val="hybridMultilevel"/>
    <w:tmpl w:val="F6E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2"/>
  </w:num>
  <w:num w:numId="3">
    <w:abstractNumId w:val="12"/>
  </w:num>
  <w:num w:numId="4">
    <w:abstractNumId w:val="19"/>
  </w:num>
  <w:num w:numId="5">
    <w:abstractNumId w:val="0"/>
  </w:num>
  <w:num w:numId="6">
    <w:abstractNumId w:val="7"/>
  </w:num>
  <w:num w:numId="7">
    <w:abstractNumId w:val="1"/>
  </w:num>
  <w:num w:numId="8">
    <w:abstractNumId w:val="4"/>
  </w:num>
  <w:num w:numId="9">
    <w:abstractNumId w:val="20"/>
  </w:num>
  <w:num w:numId="10">
    <w:abstractNumId w:val="12"/>
  </w:num>
  <w:num w:numId="11">
    <w:abstractNumId w:val="2"/>
  </w:num>
  <w:num w:numId="12">
    <w:abstractNumId w:val="20"/>
  </w:num>
  <w:num w:numId="13">
    <w:abstractNumId w:val="18"/>
  </w:num>
  <w:num w:numId="14">
    <w:abstractNumId w:val="19"/>
  </w:num>
  <w:num w:numId="15">
    <w:abstractNumId w:val="1"/>
  </w:num>
  <w:num w:numId="16">
    <w:abstractNumId w:val="4"/>
  </w:num>
  <w:num w:numId="17">
    <w:abstractNumId w:val="19"/>
  </w:num>
  <w:num w:numId="18">
    <w:abstractNumId w:val="17"/>
  </w:num>
  <w:num w:numId="19">
    <w:abstractNumId w:val="13"/>
  </w:num>
  <w:num w:numId="20">
    <w:abstractNumId w:val="20"/>
  </w:num>
  <w:num w:numId="21">
    <w:abstractNumId w:val="11"/>
  </w:num>
  <w:num w:numId="22">
    <w:abstractNumId w:val="10"/>
  </w:num>
  <w:num w:numId="23">
    <w:abstractNumId w:val="11"/>
  </w:num>
  <w:num w:numId="24">
    <w:abstractNumId w:val="10"/>
  </w:num>
  <w:num w:numId="25">
    <w:abstractNumId w:val="9"/>
  </w:num>
  <w:num w:numId="26">
    <w:abstractNumId w:val="16"/>
  </w:num>
  <w:num w:numId="27">
    <w:abstractNumId w:val="14"/>
  </w:num>
  <w:num w:numId="28">
    <w:abstractNumId w:val="3"/>
  </w:num>
  <w:num w:numId="29">
    <w:abstractNumId w:val="6"/>
  </w:num>
  <w:num w:numId="30">
    <w:abstractNumId w:val="15"/>
  </w:num>
  <w:num w:numId="31">
    <w:abstractNumId w:val="8"/>
  </w:num>
  <w:num w:numId="32">
    <w:abstractNumId w:val="20"/>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5"/>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C6E"/>
    <w:rsid w:val="00015B1A"/>
    <w:rsid w:val="0002254B"/>
    <w:rsid w:val="00026691"/>
    <w:rsid w:val="000344B4"/>
    <w:rsid w:val="00082050"/>
    <w:rsid w:val="000A569F"/>
    <w:rsid w:val="000B63F5"/>
    <w:rsid w:val="000B77E5"/>
    <w:rsid w:val="000D6968"/>
    <w:rsid w:val="000D76E2"/>
    <w:rsid w:val="000F5932"/>
    <w:rsid w:val="00105575"/>
    <w:rsid w:val="001201E4"/>
    <w:rsid w:val="0012070F"/>
    <w:rsid w:val="001235FA"/>
    <w:rsid w:val="001357C9"/>
    <w:rsid w:val="00141292"/>
    <w:rsid w:val="0017045F"/>
    <w:rsid w:val="001978C4"/>
    <w:rsid w:val="001A4F58"/>
    <w:rsid w:val="001B2301"/>
    <w:rsid w:val="001C1141"/>
    <w:rsid w:val="001C6063"/>
    <w:rsid w:val="001E3CA3"/>
    <w:rsid w:val="001F775C"/>
    <w:rsid w:val="00207F7C"/>
    <w:rsid w:val="002173F4"/>
    <w:rsid w:val="00232E6E"/>
    <w:rsid w:val="00235450"/>
    <w:rsid w:val="002700E5"/>
    <w:rsid w:val="00275D5E"/>
    <w:rsid w:val="00291D60"/>
    <w:rsid w:val="002D0473"/>
    <w:rsid w:val="002D32F1"/>
    <w:rsid w:val="002D6DD0"/>
    <w:rsid w:val="002E16E7"/>
    <w:rsid w:val="002E1AE6"/>
    <w:rsid w:val="002E5D89"/>
    <w:rsid w:val="002F4E11"/>
    <w:rsid w:val="003365A2"/>
    <w:rsid w:val="003449FB"/>
    <w:rsid w:val="0035034C"/>
    <w:rsid w:val="003553F7"/>
    <w:rsid w:val="00371A98"/>
    <w:rsid w:val="003747F8"/>
    <w:rsid w:val="00375061"/>
    <w:rsid w:val="003815B1"/>
    <w:rsid w:val="00394ECA"/>
    <w:rsid w:val="003B2EB4"/>
    <w:rsid w:val="003C1D02"/>
    <w:rsid w:val="003C263A"/>
    <w:rsid w:val="003C50C4"/>
    <w:rsid w:val="003F2BD9"/>
    <w:rsid w:val="003F6230"/>
    <w:rsid w:val="00402C40"/>
    <w:rsid w:val="00423410"/>
    <w:rsid w:val="00443275"/>
    <w:rsid w:val="00453E4A"/>
    <w:rsid w:val="0046077F"/>
    <w:rsid w:val="00461326"/>
    <w:rsid w:val="00463935"/>
    <w:rsid w:val="00465755"/>
    <w:rsid w:val="004750A7"/>
    <w:rsid w:val="0048606C"/>
    <w:rsid w:val="0048772E"/>
    <w:rsid w:val="00492175"/>
    <w:rsid w:val="004944EE"/>
    <w:rsid w:val="004B05BB"/>
    <w:rsid w:val="004B071D"/>
    <w:rsid w:val="004B3C9A"/>
    <w:rsid w:val="004B7BCE"/>
    <w:rsid w:val="004C6B0A"/>
    <w:rsid w:val="004F463D"/>
    <w:rsid w:val="00510ED3"/>
    <w:rsid w:val="00512916"/>
    <w:rsid w:val="00531C8C"/>
    <w:rsid w:val="005356B6"/>
    <w:rsid w:val="00543D26"/>
    <w:rsid w:val="00550619"/>
    <w:rsid w:val="00561B01"/>
    <w:rsid w:val="00564CD3"/>
    <w:rsid w:val="00573834"/>
    <w:rsid w:val="00584A10"/>
    <w:rsid w:val="00590890"/>
    <w:rsid w:val="00597ED1"/>
    <w:rsid w:val="005B1057"/>
    <w:rsid w:val="005B1D35"/>
    <w:rsid w:val="005B361D"/>
    <w:rsid w:val="005B4650"/>
    <w:rsid w:val="005B7ADF"/>
    <w:rsid w:val="005D4CD1"/>
    <w:rsid w:val="005E3382"/>
    <w:rsid w:val="0062626B"/>
    <w:rsid w:val="00626EDA"/>
    <w:rsid w:val="00643FAB"/>
    <w:rsid w:val="0066799B"/>
    <w:rsid w:val="00680CD2"/>
    <w:rsid w:val="00684E09"/>
    <w:rsid w:val="00687CC7"/>
    <w:rsid w:val="006A5B0F"/>
    <w:rsid w:val="006B2A2F"/>
    <w:rsid w:val="006C2C57"/>
    <w:rsid w:val="006F569D"/>
    <w:rsid w:val="006F7E8A"/>
    <w:rsid w:val="00705F58"/>
    <w:rsid w:val="007070A1"/>
    <w:rsid w:val="0072620F"/>
    <w:rsid w:val="00735B7D"/>
    <w:rsid w:val="00740AC8"/>
    <w:rsid w:val="00766489"/>
    <w:rsid w:val="00785BEE"/>
    <w:rsid w:val="00796419"/>
    <w:rsid w:val="007A03B3"/>
    <w:rsid w:val="007B28E9"/>
    <w:rsid w:val="007C2A5D"/>
    <w:rsid w:val="007C5AC9"/>
    <w:rsid w:val="007D268D"/>
    <w:rsid w:val="007E217D"/>
    <w:rsid w:val="007E6128"/>
    <w:rsid w:val="007F0018"/>
    <w:rsid w:val="007F2F4C"/>
    <w:rsid w:val="007F4731"/>
    <w:rsid w:val="007F788B"/>
    <w:rsid w:val="00805A94"/>
    <w:rsid w:val="0080784C"/>
    <w:rsid w:val="00810581"/>
    <w:rsid w:val="008116A6"/>
    <w:rsid w:val="00830C6E"/>
    <w:rsid w:val="008472C3"/>
    <w:rsid w:val="00874C73"/>
    <w:rsid w:val="0087722D"/>
    <w:rsid w:val="00877394"/>
    <w:rsid w:val="00886D08"/>
    <w:rsid w:val="00887DB6"/>
    <w:rsid w:val="008941E7"/>
    <w:rsid w:val="0089431D"/>
    <w:rsid w:val="00894811"/>
    <w:rsid w:val="008B53A9"/>
    <w:rsid w:val="008C1253"/>
    <w:rsid w:val="008E37CC"/>
    <w:rsid w:val="008F744A"/>
    <w:rsid w:val="00904401"/>
    <w:rsid w:val="009122BB"/>
    <w:rsid w:val="00917872"/>
    <w:rsid w:val="00934B83"/>
    <w:rsid w:val="0095488F"/>
    <w:rsid w:val="00971F92"/>
    <w:rsid w:val="00975FF5"/>
    <w:rsid w:val="00987A9E"/>
    <w:rsid w:val="0099114F"/>
    <w:rsid w:val="009A267F"/>
    <w:rsid w:val="009A448F"/>
    <w:rsid w:val="009B1F2D"/>
    <w:rsid w:val="009D1474"/>
    <w:rsid w:val="009E331F"/>
    <w:rsid w:val="009F66A8"/>
    <w:rsid w:val="00A24C47"/>
    <w:rsid w:val="00A466EE"/>
    <w:rsid w:val="00A4777A"/>
    <w:rsid w:val="00A62B49"/>
    <w:rsid w:val="00A91D2D"/>
    <w:rsid w:val="00AA0E90"/>
    <w:rsid w:val="00AA6E73"/>
    <w:rsid w:val="00AC16CB"/>
    <w:rsid w:val="00AD3666"/>
    <w:rsid w:val="00B4263C"/>
    <w:rsid w:val="00B54D3C"/>
    <w:rsid w:val="00B5559F"/>
    <w:rsid w:val="00B6679E"/>
    <w:rsid w:val="00B748A8"/>
    <w:rsid w:val="00B8379F"/>
    <w:rsid w:val="00B846C2"/>
    <w:rsid w:val="00B87A6B"/>
    <w:rsid w:val="00B95F60"/>
    <w:rsid w:val="00BE3E54"/>
    <w:rsid w:val="00BF348C"/>
    <w:rsid w:val="00C31397"/>
    <w:rsid w:val="00C4731F"/>
    <w:rsid w:val="00C51C6A"/>
    <w:rsid w:val="00C6458D"/>
    <w:rsid w:val="00C70B09"/>
    <w:rsid w:val="00C74647"/>
    <w:rsid w:val="00C804E9"/>
    <w:rsid w:val="00C8314B"/>
    <w:rsid w:val="00C91F46"/>
    <w:rsid w:val="00CA5848"/>
    <w:rsid w:val="00CA6FF8"/>
    <w:rsid w:val="00CC51B6"/>
    <w:rsid w:val="00CC563E"/>
    <w:rsid w:val="00CD23C4"/>
    <w:rsid w:val="00CD2BC6"/>
    <w:rsid w:val="00CF3EF3"/>
    <w:rsid w:val="00CF553F"/>
    <w:rsid w:val="00D0161F"/>
    <w:rsid w:val="00D11C7E"/>
    <w:rsid w:val="00D12DDC"/>
    <w:rsid w:val="00D22619"/>
    <w:rsid w:val="00D23418"/>
    <w:rsid w:val="00D508B4"/>
    <w:rsid w:val="00D86752"/>
    <w:rsid w:val="00D90C72"/>
    <w:rsid w:val="00D93CD6"/>
    <w:rsid w:val="00D95FA0"/>
    <w:rsid w:val="00DA43DE"/>
    <w:rsid w:val="00DA5725"/>
    <w:rsid w:val="00DA7F11"/>
    <w:rsid w:val="00DB3EC2"/>
    <w:rsid w:val="00DC104B"/>
    <w:rsid w:val="00DC28D6"/>
    <w:rsid w:val="00DC4C0F"/>
    <w:rsid w:val="00DC5FAC"/>
    <w:rsid w:val="00DF66B4"/>
    <w:rsid w:val="00E00085"/>
    <w:rsid w:val="00E05C5A"/>
    <w:rsid w:val="00E203C2"/>
    <w:rsid w:val="00E24FDF"/>
    <w:rsid w:val="00E3210F"/>
    <w:rsid w:val="00E36879"/>
    <w:rsid w:val="00E534FA"/>
    <w:rsid w:val="00E647DF"/>
    <w:rsid w:val="00E7102F"/>
    <w:rsid w:val="00E763E4"/>
    <w:rsid w:val="00E8083E"/>
    <w:rsid w:val="00E82606"/>
    <w:rsid w:val="00E9136B"/>
    <w:rsid w:val="00EB53E5"/>
    <w:rsid w:val="00EF22F0"/>
    <w:rsid w:val="00EF631F"/>
    <w:rsid w:val="00F02A4E"/>
    <w:rsid w:val="00F139E0"/>
    <w:rsid w:val="00F36106"/>
    <w:rsid w:val="00F519DC"/>
    <w:rsid w:val="00F63BDC"/>
    <w:rsid w:val="00F76076"/>
    <w:rsid w:val="00F82220"/>
    <w:rsid w:val="00F84228"/>
    <w:rsid w:val="00F849B1"/>
    <w:rsid w:val="00F9563C"/>
    <w:rsid w:val="00F97695"/>
    <w:rsid w:val="00FA4EC5"/>
    <w:rsid w:val="00FE3F15"/>
    <w:rsid w:val="00FE4FB6"/>
    <w:rsid w:val="00FF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8" w:unhideWhenUsed="0" w:qFormat="1"/>
    <w:lsdException w:name="heading 2" w:semiHidden="0" w:uiPriority="0" w:unhideWhenUsed="0"/>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463935"/>
    <w:rPr>
      <w:sz w:val="16"/>
      <w:szCs w:val="16"/>
    </w:rPr>
  </w:style>
  <w:style w:type="paragraph" w:styleId="CommentText">
    <w:name w:val="annotation text"/>
    <w:basedOn w:val="Normal"/>
    <w:link w:val="CommentTextChar"/>
    <w:uiPriority w:val="99"/>
    <w:semiHidden/>
    <w:unhideWhenUsed/>
    <w:rsid w:val="00463935"/>
    <w:rPr>
      <w:szCs w:val="20"/>
    </w:rPr>
  </w:style>
  <w:style w:type="character" w:customStyle="1" w:styleId="CommentTextChar">
    <w:name w:val="Comment Text Char"/>
    <w:link w:val="CommentText"/>
    <w:uiPriority w:val="99"/>
    <w:semiHidden/>
    <w:rsid w:val="0046393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463935"/>
    <w:rPr>
      <w:b/>
      <w:bCs/>
    </w:rPr>
  </w:style>
  <w:style w:type="character" w:customStyle="1" w:styleId="CommentSubjectChar">
    <w:name w:val="Comment Subject Char"/>
    <w:link w:val="CommentSubject"/>
    <w:uiPriority w:val="99"/>
    <w:semiHidden/>
    <w:rsid w:val="00463935"/>
    <w:rPr>
      <w:rFonts w:eastAsia="MS Mincho"/>
      <w:b/>
      <w:bCs/>
      <w:lang w:val="en-US" w:eastAsia="en-US"/>
    </w:rPr>
  </w:style>
  <w:style w:type="paragraph" w:styleId="Header">
    <w:name w:val="header"/>
    <w:basedOn w:val="Normal"/>
    <w:link w:val="HeaderChar"/>
    <w:uiPriority w:val="99"/>
    <w:unhideWhenUsed/>
    <w:rsid w:val="001C1141"/>
    <w:pPr>
      <w:tabs>
        <w:tab w:val="center" w:pos="4513"/>
        <w:tab w:val="right" w:pos="9026"/>
      </w:tabs>
    </w:pPr>
  </w:style>
  <w:style w:type="character" w:customStyle="1" w:styleId="HeaderChar">
    <w:name w:val="Header Char"/>
    <w:link w:val="Header"/>
    <w:uiPriority w:val="99"/>
    <w:rsid w:val="001C1141"/>
    <w:rPr>
      <w:rFonts w:eastAsia="MS Mincho"/>
      <w:szCs w:val="24"/>
      <w:lang w:val="en-US" w:eastAsia="en-US"/>
    </w:rPr>
  </w:style>
  <w:style w:type="paragraph" w:styleId="NormalWeb">
    <w:name w:val="Normal (Web)"/>
    <w:basedOn w:val="Normal"/>
    <w:uiPriority w:val="99"/>
    <w:unhideWhenUsed/>
    <w:rsid w:val="00766489"/>
    <w:pPr>
      <w:spacing w:before="100" w:beforeAutospacing="1" w:after="100" w:afterAutospacing="1"/>
    </w:pPr>
    <w:rPr>
      <w:rFonts w:ascii="Times New Roman" w:eastAsia="Times New Roman" w:hAnsi="Times New Roman"/>
      <w:sz w:val="24"/>
      <w:lang w:val="en-GB" w:eastAsia="en-GB"/>
    </w:rPr>
  </w:style>
  <w:style w:type="character" w:styleId="Emphasis">
    <w:name w:val="Emphasis"/>
    <w:uiPriority w:val="20"/>
    <w:qFormat/>
    <w:rsid w:val="008943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4924">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98157245">
      <w:bodyDiv w:val="1"/>
      <w:marLeft w:val="0"/>
      <w:marRight w:val="0"/>
      <w:marTop w:val="0"/>
      <w:marBottom w:val="0"/>
      <w:divBdr>
        <w:top w:val="none" w:sz="0" w:space="0" w:color="auto"/>
        <w:left w:val="none" w:sz="0" w:space="0" w:color="auto"/>
        <w:bottom w:val="none" w:sz="0" w:space="0" w:color="auto"/>
        <w:right w:val="none" w:sz="0" w:space="0" w:color="auto"/>
      </w:divBdr>
    </w:div>
    <w:div w:id="61868652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87507041">
      <w:bodyDiv w:val="1"/>
      <w:marLeft w:val="0"/>
      <w:marRight w:val="0"/>
      <w:marTop w:val="0"/>
      <w:marBottom w:val="0"/>
      <w:divBdr>
        <w:top w:val="none" w:sz="0" w:space="0" w:color="auto"/>
        <w:left w:val="none" w:sz="0" w:space="0" w:color="auto"/>
        <w:bottom w:val="none" w:sz="0" w:space="0" w:color="auto"/>
        <w:right w:val="none" w:sz="0" w:space="0" w:color="auto"/>
      </w:divBdr>
    </w:div>
    <w:div w:id="1406951959">
      <w:bodyDiv w:val="1"/>
      <w:marLeft w:val="0"/>
      <w:marRight w:val="0"/>
      <w:marTop w:val="0"/>
      <w:marBottom w:val="0"/>
      <w:divBdr>
        <w:top w:val="none" w:sz="0" w:space="0" w:color="auto"/>
        <w:left w:val="none" w:sz="0" w:space="0" w:color="auto"/>
        <w:bottom w:val="none" w:sz="0" w:space="0" w:color="auto"/>
        <w:right w:val="none" w:sz="0" w:space="0" w:color="auto"/>
      </w:divBdr>
    </w:div>
    <w:div w:id="1458983844">
      <w:bodyDiv w:val="1"/>
      <w:marLeft w:val="0"/>
      <w:marRight w:val="0"/>
      <w:marTop w:val="0"/>
      <w:marBottom w:val="0"/>
      <w:divBdr>
        <w:top w:val="none" w:sz="0" w:space="0" w:color="auto"/>
        <w:left w:val="none" w:sz="0" w:space="0" w:color="auto"/>
        <w:bottom w:val="none" w:sz="0" w:space="0" w:color="auto"/>
        <w:right w:val="none" w:sz="0" w:space="0" w:color="auto"/>
      </w:divBdr>
    </w:div>
    <w:div w:id="1768843029">
      <w:bodyDiv w:val="1"/>
      <w:marLeft w:val="0"/>
      <w:marRight w:val="0"/>
      <w:marTop w:val="0"/>
      <w:marBottom w:val="0"/>
      <w:divBdr>
        <w:top w:val="none" w:sz="0" w:space="0" w:color="auto"/>
        <w:left w:val="none" w:sz="0" w:space="0" w:color="auto"/>
        <w:bottom w:val="none" w:sz="0" w:space="0" w:color="auto"/>
        <w:right w:val="none" w:sz="0" w:space="0" w:color="auto"/>
      </w:divBdr>
    </w:div>
    <w:div w:id="1788502440">
      <w:bodyDiv w:val="1"/>
      <w:marLeft w:val="0"/>
      <w:marRight w:val="0"/>
      <w:marTop w:val="0"/>
      <w:marBottom w:val="0"/>
      <w:divBdr>
        <w:top w:val="none" w:sz="0" w:space="0" w:color="auto"/>
        <w:left w:val="none" w:sz="0" w:space="0" w:color="auto"/>
        <w:bottom w:val="none" w:sz="0" w:space="0" w:color="auto"/>
        <w:right w:val="none" w:sz="0" w:space="0" w:color="auto"/>
      </w:divBdr>
    </w:div>
    <w:div w:id="20424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llections/national-curriculu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gislation.gov.uk/ukpga/2010/15/part/6/chapter/1"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yperlink" Target="https://www.gov.uk/government/publications/send-code-of-practice-0-to-2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SG-Model-Policy-template-portrait-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20A3874-7DC3-43CA-BA4D-4D2D3FF8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(1)</Template>
  <TotalTime>1435</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Links>
    <vt:vector size="30" baseType="variant">
      <vt:variant>
        <vt:i4>4194317</vt:i4>
      </vt:variant>
      <vt:variant>
        <vt:i4>12</vt:i4>
      </vt:variant>
      <vt:variant>
        <vt:i4>0</vt:i4>
      </vt:variant>
      <vt:variant>
        <vt:i4>5</vt:i4>
      </vt:variant>
      <vt:variant>
        <vt:lpwstr>https://www.gov.uk/government/publications/early-years-foundation-stage-framework--2</vt:lpwstr>
      </vt:variant>
      <vt:variant>
        <vt:lpwstr/>
      </vt:variant>
      <vt:variant>
        <vt:i4>7471144</vt:i4>
      </vt:variant>
      <vt:variant>
        <vt:i4>9</vt:i4>
      </vt:variant>
      <vt:variant>
        <vt:i4>0</vt:i4>
      </vt:variant>
      <vt:variant>
        <vt:i4>5</vt:i4>
      </vt:variant>
      <vt:variant>
        <vt:lpwstr>https://www.gov.uk/government/publications/governance-handbook</vt:lpwstr>
      </vt:variant>
      <vt:variant>
        <vt:lpwstr/>
      </vt:variant>
      <vt:variant>
        <vt:i4>5570562</vt:i4>
      </vt:variant>
      <vt:variant>
        <vt:i4>6</vt:i4>
      </vt:variant>
      <vt:variant>
        <vt:i4>0</vt:i4>
      </vt:variant>
      <vt:variant>
        <vt:i4>5</vt:i4>
      </vt:variant>
      <vt:variant>
        <vt:lpwstr>http://www.legislation.gov.uk/ukpga/2010/15/part/6/chapter/1</vt:lpwstr>
      </vt:variant>
      <vt:variant>
        <vt:lpwstr/>
      </vt:variant>
      <vt:variant>
        <vt:i4>393306</vt:i4>
      </vt:variant>
      <vt:variant>
        <vt:i4>3</vt:i4>
      </vt:variant>
      <vt:variant>
        <vt:i4>0</vt:i4>
      </vt:variant>
      <vt:variant>
        <vt:i4>5</vt:i4>
      </vt:variant>
      <vt:variant>
        <vt:lpwstr>https://www.gov.uk/government/publications/send-code-of-practice-0-to-25</vt:lpwstr>
      </vt:variant>
      <vt:variant>
        <vt:lpwstr/>
      </vt:variant>
      <vt:variant>
        <vt:i4>1507405</vt:i4>
      </vt:variant>
      <vt:variant>
        <vt:i4>0</vt:i4>
      </vt:variant>
      <vt:variant>
        <vt:i4>0</vt:i4>
      </vt:variant>
      <vt:variant>
        <vt:i4>5</vt:i4>
      </vt:variant>
      <vt:variant>
        <vt:lpwstr>https://www.gov.uk/government/collections/national-curriculum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Olivia Heath</cp:lastModifiedBy>
  <cp:revision>6</cp:revision>
  <cp:lastPrinted>2018-10-02T14:43:00Z</cp:lastPrinted>
  <dcterms:created xsi:type="dcterms:W3CDTF">2021-04-25T11:30:00Z</dcterms:created>
  <dcterms:modified xsi:type="dcterms:W3CDTF">2021-04-26T21:57:00Z</dcterms:modified>
</cp:coreProperties>
</file>